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366B8" w14:textId="44899F91" w:rsidR="00C8374B" w:rsidRPr="0096000B" w:rsidRDefault="00C8374B" w:rsidP="00741801">
      <w:pPr>
        <w:keepNext/>
        <w:pageBreakBefore/>
        <w:spacing w:before="120" w:after="120" w:line="240" w:lineRule="auto"/>
        <w:ind w:firstLine="720"/>
        <w:jc w:val="both"/>
        <w:outlineLvl w:val="0"/>
        <w:rPr>
          <w:rFonts w:ascii="Times New Roman" w:eastAsia="Calibri" w:hAnsi="Times New Roman" w:cs="Times New Roman"/>
          <w:b/>
          <w:bCs/>
          <w:kern w:val="32"/>
          <w:sz w:val="28"/>
          <w:szCs w:val="32"/>
        </w:rPr>
      </w:pPr>
      <w:bookmarkStart w:id="0" w:name="_Toc85438733"/>
      <w:bookmarkStart w:id="1" w:name="_Toc112419694"/>
      <w:bookmarkStart w:id="2" w:name="_GoBack"/>
      <w:r w:rsidRPr="0096000B">
        <w:rPr>
          <w:rFonts w:ascii="Times New Roman" w:eastAsia="Calibri" w:hAnsi="Times New Roman" w:cs="Times New Roman"/>
          <w:b/>
          <w:bCs/>
          <w:kern w:val="32"/>
          <w:sz w:val="24"/>
          <w:szCs w:val="24"/>
        </w:rPr>
        <w:t>SỞ GIAO DỊCH CHỨNG KHOÁN HÀ NỘI</w:t>
      </w:r>
      <w:r w:rsidR="00A02C79">
        <w:rPr>
          <w:rFonts w:ascii="Times New Roman" w:eastAsia="Calibri" w:hAnsi="Times New Roman" w:cs="Times New Roman"/>
          <w:b/>
          <w:bCs/>
          <w:kern w:val="32"/>
          <w:sz w:val="24"/>
          <w:szCs w:val="24"/>
          <w:lang w:val="en-US"/>
        </w:rPr>
        <w:t xml:space="preserve"> (Hanoi Stock Exchange</w:t>
      </w:r>
      <w:r w:rsidR="00764732">
        <w:rPr>
          <w:rFonts w:ascii="Times New Roman" w:eastAsia="Calibri" w:hAnsi="Times New Roman" w:cs="Times New Roman"/>
          <w:b/>
          <w:bCs/>
          <w:kern w:val="32"/>
          <w:sz w:val="24"/>
          <w:szCs w:val="24"/>
          <w:lang w:val="en-US"/>
        </w:rPr>
        <w:t>, HNX</w:t>
      </w:r>
      <w:r w:rsidR="00A02C79">
        <w:rPr>
          <w:rFonts w:ascii="Times New Roman" w:eastAsia="Calibri" w:hAnsi="Times New Roman" w:cs="Times New Roman"/>
          <w:b/>
          <w:bCs/>
          <w:kern w:val="32"/>
          <w:sz w:val="24"/>
          <w:szCs w:val="24"/>
          <w:lang w:val="en-US"/>
        </w:rPr>
        <w:t>)</w:t>
      </w:r>
      <w:r w:rsidRPr="0096000B">
        <w:rPr>
          <w:rFonts w:ascii="Times New Roman" w:eastAsia="Calibri" w:hAnsi="Times New Roman" w:cs="Times New Roman"/>
          <w:b/>
          <w:bCs/>
          <w:kern w:val="32"/>
          <w:sz w:val="24"/>
          <w:szCs w:val="24"/>
        </w:rPr>
        <w:t>,</w:t>
      </w:r>
      <w:r w:rsidRPr="0096000B">
        <w:rPr>
          <w:rFonts w:ascii="Times New Roman" w:eastAsia="Calibri" w:hAnsi="Times New Roman" w:cs="Times New Roman"/>
          <w:b/>
          <w:bCs/>
          <w:kern w:val="32"/>
          <w:sz w:val="28"/>
          <w:szCs w:val="32"/>
        </w:rPr>
        <w:t xml:space="preserve"> </w:t>
      </w:r>
      <w:r w:rsidRPr="0096000B">
        <w:rPr>
          <w:rFonts w:ascii="Times New Roman" w:eastAsia="Calibri" w:hAnsi="Times New Roman" w:cs="Times New Roman"/>
          <w:bCs/>
          <w:kern w:val="32"/>
          <w:sz w:val="28"/>
          <w:szCs w:val="32"/>
        </w:rPr>
        <w:t xml:space="preserve">được thành lập theo Quyết định số 01/2009/QĐ-TTg </w:t>
      </w:r>
      <w:r w:rsidR="00E824EB">
        <w:rPr>
          <w:rFonts w:ascii="Times New Roman" w:eastAsia="Calibri" w:hAnsi="Times New Roman" w:cs="Times New Roman"/>
          <w:bCs/>
          <w:kern w:val="32"/>
          <w:sz w:val="28"/>
          <w:szCs w:val="32"/>
          <w:lang w:val="en-US"/>
        </w:rPr>
        <w:t xml:space="preserve">ngày 2.1.2009 </w:t>
      </w:r>
      <w:r w:rsidRPr="0096000B">
        <w:rPr>
          <w:rFonts w:ascii="Times New Roman" w:eastAsia="Calibri" w:hAnsi="Times New Roman" w:cs="Times New Roman"/>
          <w:bCs/>
          <w:kern w:val="32"/>
          <w:sz w:val="28"/>
          <w:szCs w:val="32"/>
        </w:rPr>
        <w:t>của Thủ tướng Chính phủ trên cơ sở chuyển đổi, tổ chức lại Trung tâm Giao dịch chứng khoán</w:t>
      </w:r>
      <w:r w:rsidR="00DD4028" w:rsidRPr="00741801">
        <w:rPr>
          <w:rFonts w:ascii="Times New Roman" w:eastAsia="Calibri" w:hAnsi="Times New Roman" w:cs="Times New Roman"/>
          <w:bCs/>
          <w:kern w:val="32"/>
          <w:sz w:val="28"/>
          <w:szCs w:val="32"/>
          <w:lang w:val="en-US"/>
        </w:rPr>
        <w:t xml:space="preserve"> </w:t>
      </w:r>
      <w:r w:rsidRPr="0096000B">
        <w:rPr>
          <w:rFonts w:ascii="Times New Roman" w:eastAsia="Calibri" w:hAnsi="Times New Roman" w:cs="Times New Roman"/>
          <w:bCs/>
          <w:kern w:val="32"/>
          <w:sz w:val="28"/>
          <w:szCs w:val="32"/>
        </w:rPr>
        <w:t xml:space="preserve">Hà Nội, nhằm tổ chức hoạt động niêm yết, đăng ký giao dịch, giao dịch chứng khoán, đấu giá chứng khoán, đấu thầu trái phiếu Chính phủ, </w:t>
      </w:r>
      <w:r w:rsidRPr="00741801">
        <w:rPr>
          <w:rFonts w:ascii="Times New Roman" w:eastAsia="Calibri" w:hAnsi="Times New Roman" w:cs="Times New Roman"/>
          <w:bCs/>
          <w:kern w:val="32"/>
          <w:sz w:val="28"/>
          <w:szCs w:val="32"/>
        </w:rPr>
        <w:t>vận hành thị trường chứng khoán phái sinh</w:t>
      </w:r>
      <w:r w:rsidRPr="0096000B">
        <w:rPr>
          <w:rFonts w:ascii="Times New Roman" w:eastAsia="Calibri" w:hAnsi="Times New Roman" w:cs="Times New Roman"/>
          <w:bCs/>
          <w:kern w:val="32"/>
          <w:sz w:val="28"/>
          <w:szCs w:val="32"/>
        </w:rPr>
        <w:t xml:space="preserve"> giám sát việc chấp hành quy định của pháp luật về chứng khoán và thị trường chứng khoán, giải quyết hoặc làm đầu mối giải quyết các tranh chấp liên quan đến hoạt động giao dịch chứng khoán, hỗ trợ phát triển thị trường thông qua việc cung cấp các dịch vụ cơ sở hạ tầng, kỹ thuật, thông tin, đào tạo, tuyên truyền và phổ biến kiến thức.</w:t>
      </w:r>
      <w:bookmarkEnd w:id="0"/>
      <w:bookmarkEnd w:id="1"/>
    </w:p>
    <w:p w14:paraId="27989EF3" w14:textId="77777777" w:rsidR="00C8374B" w:rsidRPr="00741801" w:rsidRDefault="00C8374B" w:rsidP="00741801">
      <w:pPr>
        <w:spacing w:before="120" w:after="120" w:line="240" w:lineRule="auto"/>
        <w:ind w:firstLine="567"/>
        <w:jc w:val="both"/>
        <w:rPr>
          <w:rFonts w:ascii="Times New Roman" w:eastAsia="Calibri" w:hAnsi="Times New Roman" w:cs="Times New Roman"/>
          <w:bCs/>
          <w:iCs/>
          <w:sz w:val="28"/>
          <w:szCs w:val="28"/>
        </w:rPr>
      </w:pPr>
      <w:r w:rsidRPr="00741801">
        <w:rPr>
          <w:rFonts w:ascii="Times New Roman" w:eastAsia="Calibri" w:hAnsi="Times New Roman" w:cs="Times New Roman"/>
          <w:bCs/>
          <w:iCs/>
          <w:sz w:val="28"/>
          <w:szCs w:val="28"/>
        </w:rPr>
        <w:t>Quá trình hình thành, phát triển</w:t>
      </w:r>
    </w:p>
    <w:p w14:paraId="25169EBB" w14:textId="1E967758" w:rsidR="00C8374B" w:rsidRPr="0096000B" w:rsidRDefault="00C8374B" w:rsidP="00741801">
      <w:pPr>
        <w:spacing w:before="120" w:after="120" w:line="240" w:lineRule="auto"/>
        <w:ind w:firstLine="567"/>
        <w:jc w:val="both"/>
        <w:rPr>
          <w:rFonts w:ascii="Times New Roman" w:eastAsia="Calibri" w:hAnsi="Times New Roman" w:cs="Times New Roman"/>
          <w:position w:val="-20"/>
          <w:sz w:val="28"/>
          <w:szCs w:val="28"/>
          <w:lang w:val="de-DE"/>
        </w:rPr>
      </w:pPr>
      <w:r w:rsidRPr="0096000B">
        <w:rPr>
          <w:rFonts w:ascii="Times New Roman" w:eastAsia="Calibri" w:hAnsi="Times New Roman" w:cs="Times New Roman"/>
          <w:position w:val="-20"/>
          <w:sz w:val="28"/>
          <w:szCs w:val="28"/>
          <w:lang w:val="de-DE"/>
        </w:rPr>
        <w:t>Từ đầu những năm 90, thực hiện chủ trương xây dựng và phát triển kinh tế thị trường, Chính phủ đã chỉ đạo nghiên cứu đề án xây dựng và phát triển thị trường chứng khoán</w:t>
      </w:r>
      <w:r w:rsidR="00BA4D21">
        <w:rPr>
          <w:rFonts w:ascii="Times New Roman" w:eastAsia="Calibri" w:hAnsi="Times New Roman" w:cs="Times New Roman"/>
          <w:position w:val="-20"/>
          <w:sz w:val="28"/>
          <w:szCs w:val="28"/>
          <w:lang w:val="de-DE"/>
        </w:rPr>
        <w:t xml:space="preserve"> </w:t>
      </w:r>
      <w:r w:rsidRPr="0096000B">
        <w:rPr>
          <w:rFonts w:ascii="Times New Roman" w:eastAsia="Calibri" w:hAnsi="Times New Roman" w:cs="Times New Roman"/>
          <w:position w:val="-20"/>
          <w:sz w:val="28"/>
          <w:szCs w:val="28"/>
          <w:lang w:val="de-DE"/>
        </w:rPr>
        <w:t xml:space="preserve">Việt Nam. Năm 1996, Ủy ban Chứng khoán Nhà nước được thành lập để chuẩn bị các điều kiện cần thiết cho việc ra đời </w:t>
      </w:r>
      <w:r w:rsidR="00720F3B">
        <w:rPr>
          <w:rFonts w:ascii="Times New Roman" w:eastAsia="Calibri" w:hAnsi="Times New Roman" w:cs="Times New Roman"/>
          <w:position w:val="-20"/>
          <w:sz w:val="28"/>
          <w:szCs w:val="28"/>
          <w:lang w:val="de-DE"/>
        </w:rPr>
        <w:t>thị trường chứng khoán</w:t>
      </w:r>
      <w:r w:rsidRPr="0096000B">
        <w:rPr>
          <w:rFonts w:ascii="Times New Roman" w:eastAsia="Calibri" w:hAnsi="Times New Roman" w:cs="Times New Roman"/>
          <w:position w:val="-20"/>
          <w:sz w:val="28"/>
          <w:szCs w:val="28"/>
          <w:lang w:val="de-DE"/>
        </w:rPr>
        <w:t xml:space="preserve">. Năm 1998, </w:t>
      </w:r>
      <w:r w:rsidR="00720F3B">
        <w:rPr>
          <w:rFonts w:ascii="Times New Roman" w:eastAsia="Calibri" w:hAnsi="Times New Roman" w:cs="Times New Roman"/>
          <w:position w:val="-20"/>
          <w:sz w:val="28"/>
          <w:szCs w:val="28"/>
          <w:lang w:val="de-DE"/>
        </w:rPr>
        <w:t>Trung tâm Giao dịch chứng khoán</w:t>
      </w:r>
      <w:r w:rsidR="00720F3B" w:rsidRPr="0096000B">
        <w:rPr>
          <w:rFonts w:ascii="Times New Roman" w:eastAsia="Calibri" w:hAnsi="Times New Roman" w:cs="Times New Roman"/>
          <w:position w:val="-20"/>
          <w:sz w:val="28"/>
          <w:szCs w:val="28"/>
          <w:lang w:val="de-DE"/>
        </w:rPr>
        <w:t xml:space="preserve"> </w:t>
      </w:r>
      <w:r w:rsidRPr="0096000B">
        <w:rPr>
          <w:rFonts w:ascii="Times New Roman" w:eastAsia="Calibri" w:hAnsi="Times New Roman" w:cs="Times New Roman"/>
          <w:position w:val="-20"/>
          <w:sz w:val="28"/>
          <w:szCs w:val="28"/>
          <w:lang w:val="de-DE"/>
        </w:rPr>
        <w:t>Hà Nội</w:t>
      </w:r>
      <w:r w:rsidR="00F4388D" w:rsidRPr="00741801">
        <w:rPr>
          <w:rFonts w:ascii="Times New Roman" w:eastAsia="Calibri" w:hAnsi="Times New Roman" w:cs="Times New Roman"/>
          <w:position w:val="-20"/>
          <w:sz w:val="28"/>
          <w:szCs w:val="28"/>
          <w:lang w:val="de-DE"/>
        </w:rPr>
        <w:t xml:space="preserve"> – </w:t>
      </w:r>
      <w:r w:rsidRPr="0096000B">
        <w:rPr>
          <w:rFonts w:ascii="Times New Roman" w:eastAsia="Calibri" w:hAnsi="Times New Roman" w:cs="Times New Roman"/>
          <w:position w:val="-20"/>
          <w:sz w:val="28"/>
          <w:szCs w:val="28"/>
          <w:lang w:val="de-DE"/>
        </w:rPr>
        <w:t xml:space="preserve">viết tắt là HASTC trực thuộc </w:t>
      </w:r>
      <w:r w:rsidR="00543DE0">
        <w:rPr>
          <w:rFonts w:ascii="Times New Roman" w:eastAsia="Calibri" w:hAnsi="Times New Roman" w:cs="Times New Roman"/>
          <w:position w:val="-20"/>
          <w:sz w:val="28"/>
          <w:szCs w:val="28"/>
          <w:lang w:val="de-DE"/>
        </w:rPr>
        <w:t>Ủy ban Chứng khoán Nhà nước</w:t>
      </w:r>
      <w:r w:rsidR="00543DE0" w:rsidRPr="0096000B">
        <w:rPr>
          <w:rFonts w:ascii="Times New Roman" w:eastAsia="Calibri" w:hAnsi="Times New Roman" w:cs="Times New Roman"/>
          <w:position w:val="-20"/>
          <w:sz w:val="28"/>
          <w:szCs w:val="28"/>
          <w:lang w:val="de-DE"/>
        </w:rPr>
        <w:t xml:space="preserve"> </w:t>
      </w:r>
      <w:r w:rsidRPr="0096000B">
        <w:rPr>
          <w:rFonts w:ascii="Times New Roman" w:eastAsia="Calibri" w:hAnsi="Times New Roman" w:cs="Times New Roman"/>
          <w:position w:val="-20"/>
          <w:sz w:val="28"/>
          <w:szCs w:val="28"/>
          <w:lang w:val="de-DE"/>
        </w:rPr>
        <w:t xml:space="preserve">được thành lập dưới hình thức đơn vị sự nghiệp có thu, nhiệm vụ chính là tổ chức, quản lý, điều hành việc mua bán chứng khoán; quản lý, điều hành hệ thống giao dịch chứng khoán; thực hiện đăng ký chứng khoán; thực hiện thanh toán bù trừ đối với các giao dịch chứng khoán; kiểm tra, giám sát các hoạt động giao dịch chứng khoán. </w:t>
      </w:r>
      <w:r w:rsidR="00093E60">
        <w:rPr>
          <w:rFonts w:ascii="Times New Roman" w:eastAsia="Calibri" w:hAnsi="Times New Roman" w:cs="Times New Roman"/>
          <w:position w:val="-20"/>
          <w:sz w:val="28"/>
          <w:szCs w:val="28"/>
          <w:lang w:val="de-DE"/>
        </w:rPr>
        <w:t>Trung tâm Giao dịch chứng khoán</w:t>
      </w:r>
      <w:r w:rsidRPr="0096000B">
        <w:rPr>
          <w:rFonts w:ascii="Times New Roman" w:eastAsia="Calibri" w:hAnsi="Times New Roman" w:cs="Times New Roman"/>
          <w:position w:val="-20"/>
          <w:sz w:val="28"/>
          <w:szCs w:val="28"/>
          <w:lang w:val="de-DE"/>
        </w:rPr>
        <w:t xml:space="preserve"> Hà Nội chính thức đi vào hoạt động vào năm 2005. Hoạt động đăng ký, lưu ký, bù trừ, thanh toán chứng khoán thuộc nhiệm vụ của Trung tâm lưu ký Chứng khoán Việt Nam (VSD) sau khi </w:t>
      </w:r>
      <w:r w:rsidR="00BE72DB">
        <w:rPr>
          <w:rFonts w:ascii="Times New Roman" w:eastAsia="Calibri" w:hAnsi="Times New Roman" w:cs="Times New Roman"/>
          <w:position w:val="-20"/>
          <w:sz w:val="28"/>
          <w:szCs w:val="28"/>
          <w:lang w:val="de-DE"/>
        </w:rPr>
        <w:t>Trung tâm lưu ký Chứng khoán Viện Nam</w:t>
      </w:r>
      <w:r w:rsidR="00BE72DB" w:rsidRPr="0096000B">
        <w:rPr>
          <w:rFonts w:ascii="Times New Roman" w:eastAsia="Calibri" w:hAnsi="Times New Roman" w:cs="Times New Roman"/>
          <w:position w:val="-20"/>
          <w:sz w:val="28"/>
          <w:szCs w:val="28"/>
          <w:lang w:val="de-DE"/>
        </w:rPr>
        <w:t xml:space="preserve"> </w:t>
      </w:r>
      <w:r w:rsidRPr="0096000B">
        <w:rPr>
          <w:rFonts w:ascii="Times New Roman" w:eastAsia="Calibri" w:hAnsi="Times New Roman" w:cs="Times New Roman"/>
          <w:position w:val="-20"/>
          <w:sz w:val="28"/>
          <w:szCs w:val="28"/>
          <w:lang w:val="de-DE"/>
        </w:rPr>
        <w:t>chính thức hoạt động vào năm 2005. </w:t>
      </w:r>
    </w:p>
    <w:p w14:paraId="6FD4263A" w14:textId="57881B87" w:rsidR="00C8374B" w:rsidRPr="0096000B" w:rsidRDefault="00C8374B" w:rsidP="00741801">
      <w:pPr>
        <w:spacing w:before="120" w:after="120" w:line="240" w:lineRule="auto"/>
        <w:ind w:firstLine="567"/>
        <w:jc w:val="both"/>
        <w:rPr>
          <w:rFonts w:ascii="Times New Roman" w:eastAsia="Calibri" w:hAnsi="Times New Roman" w:cs="Times New Roman"/>
          <w:position w:val="-20"/>
          <w:sz w:val="28"/>
          <w:szCs w:val="28"/>
          <w:lang w:val="de-DE"/>
        </w:rPr>
      </w:pPr>
      <w:r w:rsidRPr="0096000B">
        <w:rPr>
          <w:rFonts w:ascii="Times New Roman" w:eastAsia="Calibri" w:hAnsi="Times New Roman" w:cs="Times New Roman"/>
          <w:position w:val="-20"/>
          <w:sz w:val="28"/>
          <w:szCs w:val="28"/>
          <w:lang w:val="de-DE"/>
        </w:rPr>
        <w:t xml:space="preserve">Ngày 2.1.2009 Thủ tướng Chính phủ ban hành Quyết định số 01/2009/QĐ-TTg thành lập </w:t>
      </w:r>
      <w:r w:rsidR="00DE3A7A" w:rsidRPr="0096000B">
        <w:rPr>
          <w:rFonts w:ascii="Times New Roman" w:eastAsia="Calibri" w:hAnsi="Times New Roman" w:cs="Times New Roman"/>
          <w:position w:val="-20"/>
          <w:sz w:val="28"/>
          <w:szCs w:val="28"/>
          <w:lang w:val="de-DE"/>
        </w:rPr>
        <w:t>S</w:t>
      </w:r>
      <w:r w:rsidR="006D6B60" w:rsidRPr="00741801">
        <w:rPr>
          <w:rFonts w:ascii="Times New Roman" w:eastAsia="Calibri" w:hAnsi="Times New Roman" w:cs="Times New Roman"/>
          <w:position w:val="-20"/>
          <w:sz w:val="28"/>
          <w:szCs w:val="28"/>
          <w:lang w:val="de-DE"/>
        </w:rPr>
        <w:t xml:space="preserve">ở Giao dịch Chứng khoán </w:t>
      </w:r>
      <w:r w:rsidR="00DE3A7A" w:rsidRPr="0096000B">
        <w:rPr>
          <w:rFonts w:ascii="Times New Roman" w:eastAsia="Calibri" w:hAnsi="Times New Roman" w:cs="Times New Roman"/>
          <w:position w:val="-20"/>
          <w:sz w:val="28"/>
          <w:szCs w:val="28"/>
          <w:lang w:val="de-DE"/>
        </w:rPr>
        <w:t>H</w:t>
      </w:r>
      <w:r w:rsidR="006D6B60" w:rsidRPr="00741801">
        <w:rPr>
          <w:rFonts w:ascii="Times New Roman" w:eastAsia="Calibri" w:hAnsi="Times New Roman" w:cs="Times New Roman"/>
          <w:position w:val="-20"/>
          <w:sz w:val="28"/>
          <w:szCs w:val="28"/>
          <w:lang w:val="de-DE"/>
        </w:rPr>
        <w:t xml:space="preserve">à </w:t>
      </w:r>
      <w:r w:rsidR="00DE3A7A" w:rsidRPr="0096000B">
        <w:rPr>
          <w:rFonts w:ascii="Times New Roman" w:eastAsia="Calibri" w:hAnsi="Times New Roman" w:cs="Times New Roman"/>
          <w:position w:val="-20"/>
          <w:sz w:val="28"/>
          <w:szCs w:val="28"/>
          <w:lang w:val="de-DE"/>
        </w:rPr>
        <w:t>N</w:t>
      </w:r>
      <w:r w:rsidR="006D6B60" w:rsidRPr="00741801">
        <w:rPr>
          <w:rFonts w:ascii="Times New Roman" w:eastAsia="Calibri" w:hAnsi="Times New Roman" w:cs="Times New Roman"/>
          <w:position w:val="-20"/>
          <w:sz w:val="28"/>
          <w:szCs w:val="28"/>
          <w:lang w:val="de-DE"/>
        </w:rPr>
        <w:t>ội</w:t>
      </w:r>
      <w:r w:rsidR="00F4388D" w:rsidRPr="00741801">
        <w:rPr>
          <w:rFonts w:ascii="Times New Roman" w:eastAsia="Calibri" w:hAnsi="Times New Roman" w:cs="Times New Roman"/>
          <w:position w:val="-20"/>
          <w:sz w:val="28"/>
          <w:szCs w:val="28"/>
          <w:lang w:val="de-DE"/>
        </w:rPr>
        <w:t xml:space="preserve"> – </w:t>
      </w:r>
      <w:r w:rsidRPr="0096000B">
        <w:rPr>
          <w:rFonts w:ascii="Times New Roman" w:eastAsia="Calibri" w:hAnsi="Times New Roman" w:cs="Times New Roman"/>
          <w:position w:val="-20"/>
          <w:sz w:val="28"/>
          <w:szCs w:val="28"/>
          <w:lang w:val="de-DE"/>
        </w:rPr>
        <w:t>viết tắt là HNX, trên cơ sở chuyển đổi, tổ chức lại T</w:t>
      </w:r>
      <w:r w:rsidR="005A12B8">
        <w:rPr>
          <w:rFonts w:ascii="Times New Roman" w:eastAsia="Calibri" w:hAnsi="Times New Roman" w:cs="Times New Roman"/>
          <w:position w:val="-20"/>
          <w:sz w:val="28"/>
          <w:szCs w:val="28"/>
          <w:lang w:val="de-DE"/>
        </w:rPr>
        <w:t>rung tâm Giao dịch chứng khoán</w:t>
      </w:r>
      <w:r w:rsidRPr="0096000B">
        <w:rPr>
          <w:rFonts w:ascii="Times New Roman" w:eastAsia="Calibri" w:hAnsi="Times New Roman" w:cs="Times New Roman"/>
          <w:position w:val="-20"/>
          <w:sz w:val="28"/>
          <w:szCs w:val="28"/>
          <w:lang w:val="de-DE"/>
        </w:rPr>
        <w:t xml:space="preserve"> Hà Nội từ đơn vị sự nghiệp có thu sang hoạt động theo mô hình Công ty trách nhiệm hữu hạn một thành viên do Nhà nước nắm giữ 100% vốn điều lệ với cơ quan đại diện chủ sở hữu là Bộ Tài chính. Trước đó, Sở </w:t>
      </w:r>
      <w:r w:rsidR="005A12B8">
        <w:rPr>
          <w:rFonts w:ascii="Times New Roman" w:eastAsia="Calibri" w:hAnsi="Times New Roman" w:cs="Times New Roman"/>
          <w:position w:val="-20"/>
          <w:sz w:val="28"/>
          <w:szCs w:val="28"/>
          <w:lang w:val="de-DE"/>
        </w:rPr>
        <w:t>Giao dịch Chứng khoán</w:t>
      </w:r>
      <w:r w:rsidR="005A12B8" w:rsidRPr="00741801">
        <w:rPr>
          <w:rFonts w:ascii="Times New Roman" w:eastAsia="Calibri" w:hAnsi="Times New Roman" w:cs="Times New Roman"/>
          <w:position w:val="-20"/>
          <w:sz w:val="28"/>
          <w:szCs w:val="28"/>
          <w:lang w:val="de-DE"/>
        </w:rPr>
        <w:t xml:space="preserve"> </w:t>
      </w:r>
      <w:r w:rsidR="006D6B60" w:rsidRPr="00741801">
        <w:rPr>
          <w:rFonts w:ascii="Times New Roman" w:eastAsia="Calibri" w:hAnsi="Times New Roman" w:cs="Times New Roman"/>
          <w:position w:val="-20"/>
          <w:sz w:val="28"/>
          <w:szCs w:val="28"/>
          <w:lang w:val="de-DE"/>
        </w:rPr>
        <w:t>T</w:t>
      </w:r>
      <w:r w:rsidR="005A12B8">
        <w:rPr>
          <w:rFonts w:ascii="Times New Roman" w:eastAsia="Calibri" w:hAnsi="Times New Roman" w:cs="Times New Roman"/>
          <w:position w:val="-20"/>
          <w:sz w:val="28"/>
          <w:szCs w:val="28"/>
          <w:lang w:val="de-DE"/>
        </w:rPr>
        <w:t xml:space="preserve">hành phố </w:t>
      </w:r>
      <w:r w:rsidRPr="0096000B">
        <w:rPr>
          <w:rFonts w:ascii="Times New Roman" w:eastAsia="Calibri" w:hAnsi="Times New Roman" w:cs="Times New Roman"/>
          <w:position w:val="-20"/>
          <w:sz w:val="28"/>
          <w:szCs w:val="28"/>
          <w:lang w:val="de-DE"/>
        </w:rPr>
        <w:t>Hồ Chí Minh được chuyển đổi vào năm 2007. Mục tiêu của SGDCKHN là đảm bảo hoạt động giao dịch chứng khoán được thực hiện công khai, minh bạch</w:t>
      </w:r>
      <w:r w:rsidR="00F4388D" w:rsidRPr="00741801">
        <w:rPr>
          <w:rFonts w:ascii="Times New Roman" w:eastAsia="Calibri" w:hAnsi="Times New Roman" w:cs="Times New Roman"/>
          <w:position w:val="-20"/>
          <w:sz w:val="28"/>
          <w:szCs w:val="28"/>
          <w:lang w:val="de-DE"/>
        </w:rPr>
        <w:t>,</w:t>
      </w:r>
      <w:r w:rsidRPr="0096000B">
        <w:rPr>
          <w:rFonts w:ascii="Times New Roman" w:eastAsia="Calibri" w:hAnsi="Times New Roman" w:cs="Times New Roman"/>
          <w:position w:val="-20"/>
          <w:sz w:val="28"/>
          <w:szCs w:val="28"/>
          <w:lang w:val="de-DE"/>
        </w:rPr>
        <w:t xml:space="preserve"> hiệu quả; bảo vệ quyền và lợi ích hợp pháp của nhà đầu tư. SGDCKHN thực hiện các chức năng bao gồm tổ chức hoạt động niêm yết, đăng ký giao dịch, giao dịch chứng khoán, đấu giá chứng khoán, đấu thầu trái phiếu; giám sát việc chấp hành quy định của pháp luật về chứng khoán và </w:t>
      </w:r>
      <w:r w:rsidR="00720F3B">
        <w:rPr>
          <w:rFonts w:ascii="Times New Roman" w:eastAsia="Calibri" w:hAnsi="Times New Roman" w:cs="Times New Roman"/>
          <w:position w:val="-20"/>
          <w:sz w:val="28"/>
          <w:szCs w:val="28"/>
          <w:lang w:val="de-DE"/>
        </w:rPr>
        <w:t>thị trường chứng khoán</w:t>
      </w:r>
      <w:r w:rsidRPr="0096000B">
        <w:rPr>
          <w:rFonts w:ascii="Times New Roman" w:eastAsia="Calibri" w:hAnsi="Times New Roman" w:cs="Times New Roman"/>
          <w:position w:val="-20"/>
          <w:sz w:val="28"/>
          <w:szCs w:val="28"/>
          <w:lang w:val="de-DE"/>
        </w:rPr>
        <w:t xml:space="preserve"> của các thành viên thị trường, tổ chức niêm yết, tổ chức đăng ký giao dịch và </w:t>
      </w:r>
      <w:r w:rsidR="00F4388D" w:rsidRPr="00741801">
        <w:rPr>
          <w:rFonts w:ascii="Times New Roman" w:eastAsia="Calibri" w:hAnsi="Times New Roman" w:cs="Times New Roman"/>
          <w:position w:val="-20"/>
          <w:sz w:val="28"/>
          <w:szCs w:val="28"/>
          <w:lang w:val="de-DE"/>
        </w:rPr>
        <w:t>hoạt động giao dịch của</w:t>
      </w:r>
      <w:r w:rsidRPr="0096000B">
        <w:rPr>
          <w:rFonts w:ascii="Times New Roman" w:eastAsia="Calibri" w:hAnsi="Times New Roman" w:cs="Times New Roman"/>
          <w:position w:val="-20"/>
          <w:sz w:val="28"/>
          <w:szCs w:val="28"/>
          <w:lang w:val="de-DE"/>
        </w:rPr>
        <w:t xml:space="preserve"> nhà đầu tư tham gia giao dịch</w:t>
      </w:r>
      <w:r w:rsidR="00F4388D" w:rsidRPr="00741801">
        <w:rPr>
          <w:rFonts w:ascii="Times New Roman" w:eastAsia="Calibri" w:hAnsi="Times New Roman" w:cs="Times New Roman"/>
          <w:position w:val="-20"/>
          <w:sz w:val="28"/>
          <w:szCs w:val="28"/>
          <w:lang w:val="de-DE"/>
        </w:rPr>
        <w:t xml:space="preserve"> tại SGDCKHN</w:t>
      </w:r>
      <w:r w:rsidRPr="0096000B">
        <w:rPr>
          <w:rFonts w:ascii="Times New Roman" w:eastAsia="Calibri" w:hAnsi="Times New Roman" w:cs="Times New Roman"/>
          <w:position w:val="-20"/>
          <w:sz w:val="28"/>
          <w:szCs w:val="28"/>
          <w:lang w:val="de-DE"/>
        </w:rPr>
        <w:t xml:space="preserve">; xử lý các tranh chấp liên quan đến hoạt động giao dịch chứng khoán của thành viên thông qua thương lượng, hòa giải; hỗ trợ phát triển thị trường thông qua việc cung cấp các dịch vụ cơ sở hạ </w:t>
      </w:r>
      <w:r w:rsidRPr="0096000B">
        <w:rPr>
          <w:rFonts w:ascii="Times New Roman" w:eastAsia="Calibri" w:hAnsi="Times New Roman" w:cs="Times New Roman"/>
          <w:position w:val="-20"/>
          <w:sz w:val="28"/>
          <w:szCs w:val="28"/>
          <w:lang w:val="de-DE"/>
        </w:rPr>
        <w:lastRenderedPageBreak/>
        <w:t xml:space="preserve">tầng, kỹ thuật, thông tin, đào tạo. SGDCKHN triển khai các hoạt động đấu giá cổ phần, đấu thầu trái phiếu, vận hành thị trường cổ phiếu niêm yết, thị trường đăng ký giao dịch/ thị trường giao dịch chứng khoán của công ty đại chúng chưa niêm yết (UPCoM), thị trường trái phiếu chính phủ, thị trường </w:t>
      </w:r>
      <w:r w:rsidR="00A57614">
        <w:rPr>
          <w:rFonts w:ascii="Times New Roman" w:eastAsia="Calibri" w:hAnsi="Times New Roman" w:cs="Times New Roman"/>
          <w:position w:val="-20"/>
          <w:sz w:val="28"/>
          <w:szCs w:val="28"/>
          <w:lang w:val="de-DE"/>
        </w:rPr>
        <w:t>chứng khoán phái sinh.</w:t>
      </w:r>
      <w:r w:rsidRPr="0096000B">
        <w:rPr>
          <w:rFonts w:ascii="Times New Roman" w:eastAsia="Calibri" w:hAnsi="Times New Roman" w:cs="Times New Roman"/>
          <w:position w:val="-20"/>
          <w:sz w:val="28"/>
          <w:szCs w:val="28"/>
          <w:lang w:val="de-DE"/>
        </w:rPr>
        <w:t xml:space="preserve"> </w:t>
      </w:r>
    </w:p>
    <w:p w14:paraId="38CB650C" w14:textId="48ADE433" w:rsidR="00C8374B" w:rsidRPr="0096000B" w:rsidRDefault="00C8374B" w:rsidP="00741801">
      <w:pPr>
        <w:spacing w:before="120" w:after="120" w:line="240" w:lineRule="auto"/>
        <w:ind w:firstLine="567"/>
        <w:jc w:val="both"/>
        <w:rPr>
          <w:rFonts w:ascii="Times New Roman" w:eastAsia="Calibri" w:hAnsi="Times New Roman" w:cs="Times New Roman"/>
          <w:position w:val="-20"/>
          <w:sz w:val="28"/>
          <w:szCs w:val="28"/>
          <w:lang w:val="de-DE"/>
        </w:rPr>
      </w:pPr>
      <w:r w:rsidRPr="0096000B">
        <w:rPr>
          <w:rFonts w:ascii="Times New Roman" w:eastAsia="Calibri" w:hAnsi="Times New Roman" w:cs="Times New Roman"/>
          <w:sz w:val="28"/>
          <w:szCs w:val="28"/>
          <w:lang w:val="de-DE"/>
        </w:rPr>
        <w:t>Ngày 23</w:t>
      </w:r>
      <w:r w:rsidR="00CC49EA" w:rsidRPr="0096000B">
        <w:rPr>
          <w:rFonts w:ascii="Times New Roman" w:eastAsia="Calibri" w:hAnsi="Times New Roman" w:cs="Times New Roman"/>
          <w:sz w:val="28"/>
          <w:szCs w:val="28"/>
          <w:lang w:val="de-DE"/>
        </w:rPr>
        <w:t>.</w:t>
      </w:r>
      <w:r w:rsidRPr="0096000B">
        <w:rPr>
          <w:rFonts w:ascii="Times New Roman" w:eastAsia="Calibri" w:hAnsi="Times New Roman" w:cs="Times New Roman"/>
          <w:sz w:val="28"/>
          <w:szCs w:val="28"/>
          <w:lang w:val="de-DE"/>
        </w:rPr>
        <w:t>12</w:t>
      </w:r>
      <w:r w:rsidR="00CC49EA" w:rsidRPr="0096000B">
        <w:rPr>
          <w:rFonts w:ascii="Times New Roman" w:eastAsia="Calibri" w:hAnsi="Times New Roman" w:cs="Times New Roman"/>
          <w:sz w:val="28"/>
          <w:szCs w:val="28"/>
          <w:lang w:val="de-DE"/>
        </w:rPr>
        <w:t>.</w:t>
      </w:r>
      <w:r w:rsidRPr="0096000B">
        <w:rPr>
          <w:rFonts w:ascii="Times New Roman" w:eastAsia="Calibri" w:hAnsi="Times New Roman" w:cs="Times New Roman"/>
          <w:sz w:val="28"/>
          <w:szCs w:val="28"/>
          <w:lang w:val="de-DE"/>
        </w:rPr>
        <w:t xml:space="preserve">2020, Sở </w:t>
      </w:r>
      <w:r w:rsidR="002D5F67">
        <w:rPr>
          <w:rFonts w:ascii="Times New Roman" w:eastAsia="Calibri" w:hAnsi="Times New Roman" w:cs="Times New Roman"/>
          <w:sz w:val="28"/>
          <w:szCs w:val="28"/>
          <w:lang w:val="de-DE"/>
        </w:rPr>
        <w:t>Giao dịch Chứng khoán</w:t>
      </w:r>
      <w:r w:rsidR="002D5F67" w:rsidRPr="0096000B">
        <w:rPr>
          <w:rFonts w:ascii="Times New Roman" w:eastAsia="Calibri" w:hAnsi="Times New Roman" w:cs="Times New Roman"/>
          <w:sz w:val="28"/>
          <w:szCs w:val="28"/>
          <w:lang w:val="de-DE"/>
        </w:rPr>
        <w:t xml:space="preserve"> </w:t>
      </w:r>
      <w:r w:rsidRPr="0096000B">
        <w:rPr>
          <w:rFonts w:ascii="Times New Roman" w:eastAsia="Calibri" w:hAnsi="Times New Roman" w:cs="Times New Roman"/>
          <w:sz w:val="28"/>
          <w:szCs w:val="28"/>
          <w:lang w:val="de-DE"/>
        </w:rPr>
        <w:t xml:space="preserve">Việt Nam </w:t>
      </w:r>
      <w:r w:rsidR="00F4388D" w:rsidRPr="00741801">
        <w:rPr>
          <w:rFonts w:ascii="Times New Roman" w:eastAsia="Calibri" w:hAnsi="Times New Roman" w:cs="Times New Roman"/>
          <w:sz w:val="28"/>
          <w:szCs w:val="28"/>
          <w:lang w:val="de-DE"/>
        </w:rPr>
        <w:t xml:space="preserve">– </w:t>
      </w:r>
      <w:r w:rsidRPr="0096000B">
        <w:rPr>
          <w:rFonts w:ascii="Times New Roman" w:eastAsia="Calibri" w:hAnsi="Times New Roman" w:cs="Times New Roman"/>
          <w:sz w:val="28"/>
          <w:szCs w:val="28"/>
          <w:lang w:val="de-DE"/>
        </w:rPr>
        <w:t xml:space="preserve">viết tắt là VNX được chính thức thành lập theo </w:t>
      </w:r>
      <w:r w:rsidR="008E7E2A">
        <w:rPr>
          <w:rFonts w:ascii="Times New Roman" w:eastAsia="Calibri" w:hAnsi="Times New Roman" w:cs="Times New Roman"/>
          <w:sz w:val="28"/>
          <w:szCs w:val="28"/>
          <w:lang w:val="de-DE"/>
        </w:rPr>
        <w:t>Q</w:t>
      </w:r>
      <w:r w:rsidRPr="0096000B">
        <w:rPr>
          <w:rFonts w:ascii="Times New Roman" w:eastAsia="Calibri" w:hAnsi="Times New Roman" w:cs="Times New Roman"/>
          <w:sz w:val="28"/>
          <w:szCs w:val="28"/>
          <w:lang w:val="de-DE"/>
        </w:rPr>
        <w:t xml:space="preserve">uyết định số 37/2020/QĐ-TTg, vốn điều lệ 3.000 tỷ đồng, theo mô hình công ty mẹ - con trên cơ sở sắp xếp lại SGDCKHN, Sở </w:t>
      </w:r>
      <w:r w:rsidR="00B4714F">
        <w:rPr>
          <w:rFonts w:ascii="Times New Roman" w:eastAsia="Calibri" w:hAnsi="Times New Roman" w:cs="Times New Roman"/>
          <w:sz w:val="28"/>
          <w:szCs w:val="28"/>
          <w:lang w:val="de-DE"/>
        </w:rPr>
        <w:t>Giao dịch Chứng khoán</w:t>
      </w:r>
      <w:r w:rsidR="00F4388D" w:rsidRPr="00741801">
        <w:rPr>
          <w:rFonts w:ascii="Times New Roman" w:eastAsia="Calibri" w:hAnsi="Times New Roman" w:cs="Times New Roman"/>
          <w:sz w:val="28"/>
          <w:szCs w:val="28"/>
          <w:lang w:val="de-DE"/>
        </w:rPr>
        <w:t xml:space="preserve"> T</w:t>
      </w:r>
      <w:r w:rsidR="00B4714F">
        <w:rPr>
          <w:rFonts w:ascii="Times New Roman" w:eastAsia="Calibri" w:hAnsi="Times New Roman" w:cs="Times New Roman"/>
          <w:sz w:val="28"/>
          <w:szCs w:val="28"/>
          <w:lang w:val="de-DE"/>
        </w:rPr>
        <w:t xml:space="preserve">hành phố </w:t>
      </w:r>
      <w:r w:rsidRPr="0096000B">
        <w:rPr>
          <w:rFonts w:ascii="Times New Roman" w:eastAsia="Calibri" w:hAnsi="Times New Roman" w:cs="Times New Roman"/>
          <w:sz w:val="28"/>
          <w:szCs w:val="28"/>
          <w:lang w:val="de-DE"/>
        </w:rPr>
        <w:t>Hồ Chí Minh và phân định rõ ba khu vực thị trường chính, gồm  thị  trường  giao  dịch cổ phiếu, thị trường giao dịch trái phiếu</w:t>
      </w:r>
      <w:r w:rsidR="000A5D06" w:rsidRPr="00741801">
        <w:rPr>
          <w:rFonts w:ascii="Times New Roman" w:eastAsia="Calibri" w:hAnsi="Times New Roman" w:cs="Times New Roman"/>
          <w:sz w:val="28"/>
          <w:szCs w:val="28"/>
          <w:lang w:val="de-DE"/>
        </w:rPr>
        <w:t>,</w:t>
      </w:r>
      <w:r w:rsidRPr="0096000B">
        <w:rPr>
          <w:rFonts w:ascii="Times New Roman" w:eastAsia="Calibri" w:hAnsi="Times New Roman" w:cs="Times New Roman"/>
          <w:sz w:val="28"/>
          <w:szCs w:val="28"/>
          <w:lang w:val="de-DE"/>
        </w:rPr>
        <w:t xml:space="preserve"> thị trường giao dịch </w:t>
      </w:r>
      <w:r w:rsidR="00F04372">
        <w:rPr>
          <w:rFonts w:ascii="Times New Roman" w:eastAsia="Calibri" w:hAnsi="Times New Roman" w:cs="Times New Roman"/>
          <w:sz w:val="28"/>
          <w:szCs w:val="28"/>
          <w:lang w:val="de-DE"/>
        </w:rPr>
        <w:t>chứng khoán phái sinh</w:t>
      </w:r>
      <w:r w:rsidRPr="0096000B">
        <w:rPr>
          <w:rFonts w:ascii="Times New Roman" w:eastAsia="Calibri" w:hAnsi="Times New Roman" w:cs="Times New Roman"/>
          <w:sz w:val="28"/>
          <w:szCs w:val="28"/>
          <w:lang w:val="de-DE"/>
        </w:rPr>
        <w:t xml:space="preserve">. Theo đó, SGDCKHN và Sở </w:t>
      </w:r>
      <w:r w:rsidR="00F04372">
        <w:rPr>
          <w:rFonts w:ascii="Times New Roman" w:eastAsia="Calibri" w:hAnsi="Times New Roman" w:cs="Times New Roman"/>
          <w:sz w:val="28"/>
          <w:szCs w:val="28"/>
          <w:lang w:val="de-DE"/>
        </w:rPr>
        <w:t>Giao dịch Chứng khoán</w:t>
      </w:r>
      <w:r w:rsidR="00F4388D" w:rsidRPr="00741801">
        <w:rPr>
          <w:rFonts w:ascii="Times New Roman" w:eastAsia="Calibri" w:hAnsi="Times New Roman" w:cs="Times New Roman"/>
          <w:sz w:val="28"/>
          <w:szCs w:val="28"/>
          <w:lang w:val="de-DE"/>
        </w:rPr>
        <w:t xml:space="preserve"> T</w:t>
      </w:r>
      <w:r w:rsidR="00F04372">
        <w:rPr>
          <w:rFonts w:ascii="Times New Roman" w:eastAsia="Calibri" w:hAnsi="Times New Roman" w:cs="Times New Roman"/>
          <w:sz w:val="28"/>
          <w:szCs w:val="28"/>
          <w:lang w:val="de-DE"/>
        </w:rPr>
        <w:t xml:space="preserve">hành phố </w:t>
      </w:r>
      <w:r w:rsidRPr="0096000B">
        <w:rPr>
          <w:rFonts w:ascii="Times New Roman" w:eastAsia="Calibri" w:hAnsi="Times New Roman" w:cs="Times New Roman"/>
          <w:sz w:val="28"/>
          <w:szCs w:val="28"/>
          <w:lang w:val="de-DE"/>
        </w:rPr>
        <w:t xml:space="preserve">Hồ Chí Minh là công ty con do Sở </w:t>
      </w:r>
      <w:r w:rsidR="001906A7">
        <w:rPr>
          <w:rFonts w:ascii="Times New Roman" w:eastAsia="Calibri" w:hAnsi="Times New Roman" w:cs="Times New Roman"/>
          <w:sz w:val="28"/>
          <w:szCs w:val="28"/>
          <w:lang w:val="de-DE"/>
        </w:rPr>
        <w:t>Giao dịch Chứng khoán</w:t>
      </w:r>
      <w:r w:rsidRPr="0096000B">
        <w:rPr>
          <w:rFonts w:ascii="Times New Roman" w:eastAsia="Calibri" w:hAnsi="Times New Roman" w:cs="Times New Roman"/>
          <w:sz w:val="28"/>
          <w:szCs w:val="28"/>
          <w:lang w:val="de-DE"/>
        </w:rPr>
        <w:t xml:space="preserve"> Việt Nam nắm giữ 100% vốn điều lệ và được giám sát bởi Sở </w:t>
      </w:r>
      <w:r w:rsidR="001906A7">
        <w:rPr>
          <w:rFonts w:ascii="Times New Roman" w:eastAsia="Calibri" w:hAnsi="Times New Roman" w:cs="Times New Roman"/>
          <w:sz w:val="28"/>
          <w:szCs w:val="28"/>
          <w:lang w:val="de-DE"/>
        </w:rPr>
        <w:t>Giao dịch Chứng khoán</w:t>
      </w:r>
      <w:r w:rsidRPr="0096000B">
        <w:rPr>
          <w:rFonts w:ascii="Times New Roman" w:eastAsia="Calibri" w:hAnsi="Times New Roman" w:cs="Times New Roman"/>
          <w:sz w:val="28"/>
          <w:szCs w:val="28"/>
          <w:lang w:val="de-DE"/>
        </w:rPr>
        <w:t xml:space="preserve"> Việt Nam. Tại quyết định thành lập Sở </w:t>
      </w:r>
      <w:r w:rsidR="001906A7">
        <w:rPr>
          <w:rFonts w:ascii="Times New Roman" w:eastAsia="Calibri" w:hAnsi="Times New Roman" w:cs="Times New Roman"/>
          <w:sz w:val="28"/>
          <w:szCs w:val="28"/>
          <w:lang w:val="de-DE"/>
        </w:rPr>
        <w:t>Giao dịch Chứng khoán</w:t>
      </w:r>
      <w:r w:rsidRPr="0096000B">
        <w:rPr>
          <w:rFonts w:ascii="Times New Roman" w:eastAsia="Calibri" w:hAnsi="Times New Roman" w:cs="Times New Roman"/>
          <w:sz w:val="28"/>
          <w:szCs w:val="28"/>
          <w:lang w:val="de-DE"/>
        </w:rPr>
        <w:t xml:space="preserve"> Việt Nam, SGDCKHN có nhiệm vụ tổ chức, vận hành thị trường giao dịch </w:t>
      </w:r>
      <w:r w:rsidR="001906A7">
        <w:rPr>
          <w:rFonts w:ascii="Times New Roman" w:eastAsia="Calibri" w:hAnsi="Times New Roman" w:cs="Times New Roman"/>
          <w:sz w:val="28"/>
          <w:szCs w:val="28"/>
          <w:lang w:val="de-DE"/>
        </w:rPr>
        <w:t>chứng khoán phái sinh</w:t>
      </w:r>
      <w:r w:rsidRPr="0096000B">
        <w:rPr>
          <w:rFonts w:ascii="Times New Roman" w:eastAsia="Calibri" w:hAnsi="Times New Roman" w:cs="Times New Roman"/>
          <w:sz w:val="28"/>
          <w:szCs w:val="28"/>
          <w:lang w:val="de-DE"/>
        </w:rPr>
        <w:t>, thị trường giao dịch trái phiếu và thị trường giao dịch các loại chứng khoán khác theo quy định của pháp luật.</w:t>
      </w:r>
    </w:p>
    <w:p w14:paraId="6DF05F70" w14:textId="77777777" w:rsidR="00C8374B" w:rsidRPr="00741801" w:rsidRDefault="00C8374B" w:rsidP="00741801">
      <w:pPr>
        <w:spacing w:before="120" w:after="120" w:line="240" w:lineRule="auto"/>
        <w:ind w:firstLine="567"/>
        <w:jc w:val="both"/>
        <w:rPr>
          <w:rFonts w:ascii="Times New Roman" w:eastAsia="Calibri" w:hAnsi="Times New Roman" w:cs="Times New Roman"/>
          <w:bCs/>
          <w:iCs/>
          <w:sz w:val="28"/>
          <w:szCs w:val="28"/>
          <w:lang w:val="de-DE"/>
        </w:rPr>
      </w:pPr>
      <w:r w:rsidRPr="00741801">
        <w:rPr>
          <w:rFonts w:ascii="Times New Roman" w:eastAsia="Calibri" w:hAnsi="Times New Roman" w:cs="Times New Roman"/>
          <w:bCs/>
          <w:iCs/>
          <w:sz w:val="28"/>
          <w:szCs w:val="28"/>
          <w:lang w:val="de-DE"/>
        </w:rPr>
        <w:t xml:space="preserve">Hoạt động thị trường </w:t>
      </w:r>
    </w:p>
    <w:p w14:paraId="3738CE74" w14:textId="607D9460" w:rsidR="004B5465" w:rsidRPr="0096000B" w:rsidRDefault="00C8374B" w:rsidP="00B9085A">
      <w:pPr>
        <w:spacing w:before="120" w:after="120" w:line="240" w:lineRule="auto"/>
        <w:ind w:firstLine="567"/>
        <w:jc w:val="both"/>
        <w:rPr>
          <w:rFonts w:ascii="Times New Roman" w:eastAsia="Calibri" w:hAnsi="Times New Roman" w:cs="Times New Roman"/>
          <w:sz w:val="28"/>
          <w:szCs w:val="28"/>
          <w:lang w:val="de-DE"/>
        </w:rPr>
      </w:pPr>
      <w:r w:rsidRPr="00741801">
        <w:rPr>
          <w:rFonts w:ascii="Times New Roman" w:eastAsia="Calibri" w:hAnsi="Times New Roman" w:cs="Times New Roman"/>
          <w:bCs/>
          <w:iCs/>
          <w:sz w:val="28"/>
          <w:szCs w:val="28"/>
          <w:lang w:val="de-DE"/>
        </w:rPr>
        <w:t>Thị trường cổ phiếu</w:t>
      </w:r>
      <w:r w:rsidRPr="0096000B">
        <w:rPr>
          <w:rFonts w:ascii="Times New Roman" w:eastAsia="Calibri" w:hAnsi="Times New Roman" w:cs="Times New Roman"/>
          <w:sz w:val="28"/>
          <w:szCs w:val="28"/>
          <w:lang w:val="de-DE"/>
        </w:rPr>
        <w:t xml:space="preserve"> tại SGDCKHN gồm thị trường cổ phiếu niêm yết và thị trường UPCoM. Thị trường giao dịch cổ phiếu niêm yết được khai trương năm 2005 với 6 cổ phiếu niêm yết đầu tiên. </w:t>
      </w:r>
      <w:r w:rsidRPr="00741801">
        <w:rPr>
          <w:rFonts w:ascii="Times New Roman" w:eastAsia="Calibri" w:hAnsi="Times New Roman" w:cs="Times New Roman"/>
          <w:sz w:val="28"/>
          <w:szCs w:val="28"/>
          <w:lang w:val="de-DE"/>
        </w:rPr>
        <w:t xml:space="preserve">Tính đến năm 2021, </w:t>
      </w:r>
      <w:r w:rsidR="00F4388D" w:rsidRPr="00741801">
        <w:rPr>
          <w:rFonts w:ascii="Times New Roman" w:eastAsia="Calibri" w:hAnsi="Times New Roman" w:cs="Times New Roman"/>
          <w:sz w:val="28"/>
          <w:szCs w:val="28"/>
          <w:lang w:val="de-DE"/>
        </w:rPr>
        <w:t>có tổng số 345 doanh nghiệp niêm yết</w:t>
      </w:r>
      <w:r w:rsidRPr="00741801">
        <w:rPr>
          <w:rFonts w:ascii="Times New Roman" w:eastAsia="Calibri" w:hAnsi="Times New Roman" w:cs="Times New Roman"/>
          <w:sz w:val="28"/>
          <w:szCs w:val="28"/>
          <w:lang w:val="de-DE"/>
        </w:rPr>
        <w:t>, giá trị niêm yết hơn 130 nghìn tỷ đồng. Giá trị vốn hoá trên thị trường đạt hơn 510 nghìn tỷ đồng tại ngày giao dịch cuối cùng năm 2021, tăng 140% so với năm trước. Tổng khối lượng giao dịch năm 2021 của thị trường niêm yết lên tới 37,23 tỷ cổ phiếu, tương ứng giá trị giao dịch hơn 790.598 tỷ đồng</w:t>
      </w:r>
      <w:r w:rsidRPr="0096000B">
        <w:rPr>
          <w:rFonts w:ascii="Times New Roman" w:eastAsia="Calibri" w:hAnsi="Times New Roman" w:cs="Times New Roman"/>
          <w:sz w:val="28"/>
          <w:szCs w:val="28"/>
          <w:lang w:val="de-DE"/>
        </w:rPr>
        <w:t xml:space="preserve">. </w:t>
      </w:r>
    </w:p>
    <w:p w14:paraId="57BF1511" w14:textId="0CB793D2" w:rsidR="004B5465" w:rsidRPr="0096000B" w:rsidRDefault="00C8374B" w:rsidP="00B9085A">
      <w:pPr>
        <w:spacing w:before="120" w:after="120" w:line="240" w:lineRule="auto"/>
        <w:ind w:firstLine="567"/>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Thị trường UPCoM đi vào hoạt động từ năm 2009 với mục tiêu thu hẹp thị trường tự do, đưa cổ phiếu của các công ty đại chúng vào giao dịch trên thị trường có quản lý của Nhà nước. Triển khai chính sách gắn cổ phần hoá với đăng ký giao dịch từ năm 2015, quy mô thị trường UPCoM tăng mạnh, góp phần quan trọng vào công cuộc cổ phần hoá, thoái vốn của doanh nghiệp nhà nước, tạo cơ chế thị trường để xác định giá cho </w:t>
      </w:r>
      <w:r w:rsidR="00111FC3">
        <w:rPr>
          <w:rFonts w:ascii="Times New Roman" w:eastAsia="Calibri" w:hAnsi="Times New Roman" w:cs="Times New Roman"/>
          <w:sz w:val="28"/>
          <w:szCs w:val="28"/>
          <w:lang w:val="de-DE"/>
        </w:rPr>
        <w:t>doanh nghiệp nhà nước</w:t>
      </w:r>
      <w:r w:rsidRPr="0096000B">
        <w:rPr>
          <w:rFonts w:ascii="Times New Roman" w:eastAsia="Calibri" w:hAnsi="Times New Roman" w:cs="Times New Roman"/>
          <w:sz w:val="28"/>
          <w:szCs w:val="28"/>
          <w:lang w:val="de-DE"/>
        </w:rPr>
        <w:t xml:space="preserve"> thực hiện cổ phần hoá, thoái vốn nhà nước và trở thành cầu nối an toàn, hiệu quả cho doanh nghiệp trước khi tham gia thị trường niêm yết. </w:t>
      </w:r>
      <w:r w:rsidRPr="00741801">
        <w:rPr>
          <w:rFonts w:ascii="Times New Roman" w:eastAsia="Calibri" w:hAnsi="Times New Roman" w:cs="Times New Roman"/>
          <w:sz w:val="28"/>
          <w:szCs w:val="28"/>
          <w:lang w:val="de-DE"/>
        </w:rPr>
        <w:t>Số lượng doanh nghiệp đăng ký giao dịch tăng từ 10 doanh nghiệp năm 2009 lên 892 doanh nghiệp với giá trị đăng ký giao dịch đạt hơn 392 nghìn tỷ đồng. Giá trị vốn hóa thị trường UPCoM đạt hơn 1,4 triệu tỷ đồng tại ngày giao dịch cuối cùng năm 2021</w:t>
      </w:r>
      <w:r w:rsidRPr="0096000B">
        <w:rPr>
          <w:rFonts w:ascii="Times New Roman" w:eastAsia="Calibri" w:hAnsi="Times New Roman" w:cs="Times New Roman"/>
          <w:sz w:val="28"/>
          <w:szCs w:val="28"/>
          <w:lang w:val="de-DE"/>
        </w:rPr>
        <w:t xml:space="preserve">. </w:t>
      </w:r>
    </w:p>
    <w:p w14:paraId="398A42F9" w14:textId="21370B74" w:rsidR="00C8374B" w:rsidRPr="0096000B" w:rsidRDefault="00C8374B" w:rsidP="00741801">
      <w:pPr>
        <w:spacing w:before="120" w:after="120" w:line="240" w:lineRule="auto"/>
        <w:ind w:firstLine="567"/>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Cơ chế giao dịch trên thị trường được sửa đổi linh hoạt, hệ thống giao dịch được nâng cấp để đáp ứng quy mô thị trường ngày càng mở rộng. SGDCKHN áp dụng cơ chế đa dạng trong phương thức giao dịch (khớp lệnh liên tục, định kỳ, giao dịch sau giờ, giao dịch thỏa thuận) và các loại lệnh (lệnh giới hạn, lệnh thị trường, lệnh giao dịch tại mức giá đóng cửa, lệnh giao dịch khớp lệnh sau giờ). </w:t>
      </w:r>
    </w:p>
    <w:p w14:paraId="08382AE5" w14:textId="77777777" w:rsidR="00C8374B" w:rsidRPr="0096000B" w:rsidRDefault="00C8374B" w:rsidP="00741801">
      <w:pPr>
        <w:spacing w:before="120" w:after="120" w:line="240" w:lineRule="auto"/>
        <w:ind w:firstLine="567"/>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lastRenderedPageBreak/>
        <w:t xml:space="preserve">SGDCKHN đã xây dựng vận hành các chỉ số bao gồm HNX-Index, HNX30, UPCoM-Index, HNX/UPCoM Large Cap, HNX/UPCoM Mid/Small Cap, HNX30TRI, bộ chỉ số ngành, góp phần phản ánh quy mô thị trường. </w:t>
      </w:r>
    </w:p>
    <w:p w14:paraId="6DD23DE6" w14:textId="406BC112" w:rsidR="00C8374B" w:rsidRPr="0096000B" w:rsidRDefault="00C8374B" w:rsidP="00741801">
      <w:pPr>
        <w:spacing w:before="120" w:after="120" w:line="240" w:lineRule="auto"/>
        <w:ind w:firstLine="567"/>
        <w:jc w:val="both"/>
        <w:rPr>
          <w:rFonts w:ascii="Times New Roman" w:eastAsia="Calibri" w:hAnsi="Times New Roman" w:cs="Times New Roman"/>
          <w:sz w:val="28"/>
          <w:szCs w:val="28"/>
          <w:lang w:val="de-DE"/>
        </w:rPr>
      </w:pPr>
      <w:r w:rsidRPr="00741801">
        <w:rPr>
          <w:rFonts w:ascii="Times New Roman" w:eastAsia="Calibri" w:hAnsi="Times New Roman" w:cs="Times New Roman"/>
          <w:iCs/>
          <w:sz w:val="28"/>
          <w:szCs w:val="28"/>
          <w:lang w:val="de-DE"/>
        </w:rPr>
        <w:t>Hoạt động đấu giá cổ phần:</w:t>
      </w:r>
      <w:r w:rsidRPr="0096000B">
        <w:rPr>
          <w:rFonts w:ascii="Times New Roman" w:eastAsia="Calibri" w:hAnsi="Times New Roman" w:cs="Times New Roman"/>
          <w:i/>
          <w:sz w:val="28"/>
          <w:szCs w:val="28"/>
          <w:lang w:val="de-DE"/>
        </w:rPr>
        <w:t xml:space="preserve"> </w:t>
      </w:r>
      <w:r w:rsidRPr="0096000B">
        <w:rPr>
          <w:rFonts w:ascii="Times New Roman" w:eastAsia="Calibri" w:hAnsi="Times New Roman" w:cs="Times New Roman"/>
          <w:sz w:val="28"/>
          <w:szCs w:val="28"/>
          <w:lang w:val="de-DE"/>
        </w:rPr>
        <w:t xml:space="preserve">Hoạt động đấu giá cổ phần bắt đầu được triển khai tại SGDCKHN từ năm 2005 theo tinh thần Nghị định 187/2004/NĐ-CP </w:t>
      </w:r>
      <w:r w:rsidR="000D7559">
        <w:rPr>
          <w:rFonts w:ascii="Times New Roman" w:eastAsia="Calibri" w:hAnsi="Times New Roman" w:cs="Times New Roman"/>
          <w:sz w:val="28"/>
          <w:szCs w:val="28"/>
          <w:lang w:val="de-DE"/>
        </w:rPr>
        <w:t xml:space="preserve">ngày 16.11.2004 </w:t>
      </w:r>
      <w:r w:rsidRPr="0096000B">
        <w:rPr>
          <w:rFonts w:ascii="Times New Roman" w:eastAsia="Calibri" w:hAnsi="Times New Roman" w:cs="Times New Roman"/>
          <w:sz w:val="28"/>
          <w:szCs w:val="28"/>
          <w:lang w:val="de-DE"/>
        </w:rPr>
        <w:t xml:space="preserve">về việc chuyển công ty nhà nước thành công ty cổ phần và thực hiện tổ chức đấu giá. Năm 2007, hoạt động đấu giá được chuyển từ mô hình một cấp sang hai cấp, tập trung vào vai trò tổ chức đấu giá của SGDCKHN, tạo thuận lợi cho việc tổ chức các đợt đấu giá quy mô lớn. Với chủ trương gắn cổ phần hóa với đăng ký giao dịch, quy mô hoạt động đấu giá cổ phần tăng mạnh vào năm 2018 với số cổ phần đưa ra đấu giá lên tới 2,01 tỷ cổ phần,  thông qua các phiên đấu giá cổ phần hóa, thoái vốn nhà nước qua đấu giá, đấu giá quyền mua cổ phần. </w:t>
      </w:r>
      <w:r w:rsidRPr="00741801">
        <w:rPr>
          <w:rFonts w:ascii="Times New Roman" w:eastAsia="Calibri" w:hAnsi="Times New Roman" w:cs="Times New Roman"/>
          <w:sz w:val="28"/>
          <w:lang w:val="de-DE"/>
        </w:rPr>
        <w:t>Năm 2021, HNX tổ chức thành công 11 phiên đấu giá cổ phần với tổng khối lượng cổ phần đưa ra đấu giá là 100,89 triệu cổ phần, tương đương 1.008 tỷ đồng theo mệnh giá, nhằm phục vụ mục tiêu cổ phần hóa doanh nghiệp Nhà nước, thoái vốn Nhà nước và phát hành ra công chúng.</w:t>
      </w:r>
      <w:r w:rsidRPr="0096000B">
        <w:rPr>
          <w:rFonts w:ascii="Times New Roman" w:eastAsia="Calibri" w:hAnsi="Times New Roman" w:cs="Times New Roman"/>
          <w:sz w:val="28"/>
          <w:lang w:val="de-DE"/>
        </w:rPr>
        <w:t xml:space="preserve"> </w:t>
      </w:r>
    </w:p>
    <w:p w14:paraId="359D8EED" w14:textId="77777777" w:rsidR="00C8374B" w:rsidRPr="00741801" w:rsidRDefault="00C8374B" w:rsidP="00741801">
      <w:pPr>
        <w:spacing w:before="120" w:after="120" w:line="240" w:lineRule="auto"/>
        <w:ind w:firstLine="567"/>
        <w:jc w:val="both"/>
        <w:rPr>
          <w:rFonts w:ascii="Times New Roman" w:eastAsia="Calibri" w:hAnsi="Times New Roman" w:cs="Times New Roman"/>
          <w:bCs/>
          <w:iCs/>
          <w:sz w:val="28"/>
          <w:szCs w:val="28"/>
          <w:lang w:val="de-DE"/>
        </w:rPr>
      </w:pPr>
      <w:r w:rsidRPr="00741801">
        <w:rPr>
          <w:rFonts w:ascii="Times New Roman" w:eastAsia="Calibri" w:hAnsi="Times New Roman" w:cs="Times New Roman"/>
          <w:bCs/>
          <w:iCs/>
          <w:sz w:val="28"/>
          <w:szCs w:val="28"/>
          <w:lang w:val="de-DE"/>
        </w:rPr>
        <w:t xml:space="preserve">Thị trường trái phiếu </w:t>
      </w:r>
    </w:p>
    <w:p w14:paraId="0CA0C5F9" w14:textId="096A0C5C" w:rsidR="000B4503" w:rsidRPr="0096000B" w:rsidRDefault="00C8374B" w:rsidP="00B9085A">
      <w:pPr>
        <w:spacing w:before="120" w:after="120" w:line="240" w:lineRule="auto"/>
        <w:ind w:firstLine="567"/>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Với hai cấu phần chính là thị trường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và thị trường trái phiếu doanh nghiệp, thị trường trái phiếu đã từng bước phát triển và trở thành kênh huy động vốn trung và dài hạn, phân bổ vốn hiệu quả cho nền kinh tế. Năm 2008, tất cả 275 mã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đang niêm yết tại </w:t>
      </w:r>
      <w:r w:rsidR="00353E94">
        <w:rPr>
          <w:rFonts w:ascii="Times New Roman" w:eastAsia="Calibri" w:hAnsi="Times New Roman" w:cs="Times New Roman"/>
          <w:sz w:val="28"/>
          <w:szCs w:val="28"/>
          <w:lang w:val="de-DE"/>
        </w:rPr>
        <w:t>Sở Giao dịch Chứng khoán</w:t>
      </w:r>
      <w:r w:rsidR="00F4388D" w:rsidRPr="00741801">
        <w:rPr>
          <w:rFonts w:ascii="Times New Roman" w:eastAsia="Calibri" w:hAnsi="Times New Roman" w:cs="Times New Roman"/>
          <w:sz w:val="28"/>
          <w:szCs w:val="28"/>
          <w:lang w:val="de-DE"/>
        </w:rPr>
        <w:t xml:space="preserve"> T</w:t>
      </w:r>
      <w:r w:rsidR="00353E94">
        <w:rPr>
          <w:rFonts w:ascii="Times New Roman" w:eastAsia="Calibri" w:hAnsi="Times New Roman" w:cs="Times New Roman"/>
          <w:sz w:val="28"/>
          <w:szCs w:val="28"/>
          <w:lang w:val="de-DE"/>
        </w:rPr>
        <w:t xml:space="preserve">hành phố </w:t>
      </w:r>
      <w:r w:rsidRPr="0096000B">
        <w:rPr>
          <w:rFonts w:ascii="Times New Roman" w:eastAsia="Calibri" w:hAnsi="Times New Roman" w:cs="Times New Roman"/>
          <w:sz w:val="28"/>
          <w:szCs w:val="28"/>
          <w:lang w:val="de-DE"/>
        </w:rPr>
        <w:t xml:space="preserve">Hồ Chí Minh được chuyển sang giao dịch tại SGDCKHN, từng bước hình thành thị trường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tập trung, được giao dịch trên một hệ thống giao dịch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chuyên biệt, tách biệt khỏi hệ thống giao dịch cổ phiếu. Năm 2015, SGDCKHN  khai trương hệ thống giao dịch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trực tuyến (E-BTS) tạo thuận lợi trong hoạt động giao dịch của các nhà đầu tư.  </w:t>
      </w:r>
    </w:p>
    <w:p w14:paraId="7880E300" w14:textId="5F285816" w:rsidR="00C8374B" w:rsidRPr="0096000B" w:rsidRDefault="00C8374B" w:rsidP="00741801">
      <w:pPr>
        <w:spacing w:before="120" w:after="120" w:line="240" w:lineRule="auto"/>
        <w:ind w:firstLine="567"/>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Cơ cấu sản phẩm trên thị trường gồm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trái phiếu chính quyền địa phương, trái phiếu được chính phủ bảo lãnh, tín phiếu. Thành viên giao dịch trên thị trường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bao gồm các công ty chứng khoán và ngân hàng thương mại. Phương thức giao dịch là thỏa thuận thông thường và thỏa thuận điện tử. Từ năm 2015, thời gian khi tổ chức phát hành đến khi trái phiếu được giao dịch đã được rút ngắn xuống còn T+2 ngày.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được giao dịch theo 4 phương thức: giao dịch thông thường (outright), giao dịch mua bán lại (repos), giao dịch bán kết hợp mua lại, giao dịch vay và cho vay, trong đó giao dịch outright và giao dịch repos là hai loại hình giao dịch phổ biến nhất, đặc biệt giao dịch repos có xu hướng tăng. </w:t>
      </w:r>
      <w:r w:rsidRPr="00741801">
        <w:rPr>
          <w:rFonts w:ascii="Times New Roman" w:eastAsia="Calibri" w:hAnsi="Times New Roman" w:cs="Times New Roman"/>
          <w:sz w:val="28"/>
          <w:szCs w:val="28"/>
          <w:lang w:val="de-DE"/>
        </w:rPr>
        <w:t xml:space="preserve">Tính đến cuối năm 2021, giá trị niêm yết của thị trường </w:t>
      </w:r>
      <w:r w:rsidR="00817CAB">
        <w:rPr>
          <w:rFonts w:ascii="Times New Roman" w:eastAsia="Calibri" w:hAnsi="Times New Roman" w:cs="Times New Roman"/>
          <w:sz w:val="28"/>
          <w:szCs w:val="28"/>
          <w:lang w:val="de-DE"/>
        </w:rPr>
        <w:t>trái phiếu Chính phủ</w:t>
      </w:r>
      <w:r w:rsidRPr="00741801">
        <w:rPr>
          <w:rFonts w:ascii="Times New Roman" w:eastAsia="Calibri" w:hAnsi="Times New Roman" w:cs="Times New Roman"/>
          <w:sz w:val="28"/>
          <w:szCs w:val="28"/>
          <w:lang w:val="de-DE"/>
        </w:rPr>
        <w:t xml:space="preserve"> đạt 1.511.220 tỷ đồng, tương đương </w:t>
      </w:r>
      <w:r w:rsidRPr="00741801">
        <w:rPr>
          <w:rFonts w:ascii="Times New Roman" w:eastAsia="Calibri" w:hAnsi="Times New Roman" w:cs="Times New Roman"/>
          <w:sz w:val="28"/>
          <w:lang w:val="de-DE"/>
        </w:rPr>
        <w:t>19,19% GDP năm 2020</w:t>
      </w:r>
      <w:r w:rsidRPr="00741801">
        <w:rPr>
          <w:rFonts w:ascii="Times New Roman" w:eastAsia="Calibri" w:hAnsi="Times New Roman" w:cs="Times New Roman"/>
          <w:sz w:val="28"/>
          <w:szCs w:val="28"/>
          <w:lang w:val="de-DE"/>
        </w:rPr>
        <w:t xml:space="preserve">. Thanh khoản của thị trường tăng từ 365 tỷ đồng/phiên năm 2009 lên mức hơn </w:t>
      </w:r>
      <w:r w:rsidRPr="00741801">
        <w:rPr>
          <w:rFonts w:ascii="Times New Roman" w:eastAsia="Calibri" w:hAnsi="Times New Roman" w:cs="Times New Roman"/>
          <w:sz w:val="28"/>
          <w:lang w:val="de-DE"/>
        </w:rPr>
        <w:t xml:space="preserve">11.240 </w:t>
      </w:r>
      <w:r w:rsidRPr="00741801">
        <w:rPr>
          <w:rFonts w:ascii="Times New Roman" w:eastAsia="Calibri" w:hAnsi="Times New Roman" w:cs="Times New Roman"/>
          <w:sz w:val="28"/>
          <w:szCs w:val="28"/>
          <w:lang w:val="de-DE"/>
        </w:rPr>
        <w:t xml:space="preserve">tỷ đồng/phiên năm 2021. Đối với </w:t>
      </w:r>
      <w:r w:rsidR="00DB2CFA">
        <w:rPr>
          <w:rFonts w:ascii="Times New Roman" w:eastAsia="Calibri" w:hAnsi="Times New Roman" w:cs="Times New Roman"/>
          <w:sz w:val="28"/>
          <w:szCs w:val="28"/>
          <w:lang w:val="de-DE"/>
        </w:rPr>
        <w:t>trái phiếu doanh nghiệp</w:t>
      </w:r>
      <w:r w:rsidRPr="00741801">
        <w:rPr>
          <w:rFonts w:ascii="Times New Roman" w:eastAsia="Calibri" w:hAnsi="Times New Roman" w:cs="Times New Roman"/>
          <w:sz w:val="28"/>
          <w:szCs w:val="28"/>
          <w:lang w:val="de-DE"/>
        </w:rPr>
        <w:t xml:space="preserve">, từ tháng 4/2019, các doanh nghiệp phát hành trái phiếu riêng lẻ bắt đầu thực hiện </w:t>
      </w:r>
      <w:r w:rsidRPr="00741801">
        <w:rPr>
          <w:rFonts w:ascii="Times New Roman" w:eastAsia="Calibri" w:hAnsi="Times New Roman" w:cs="Times New Roman"/>
          <w:sz w:val="28"/>
          <w:szCs w:val="28"/>
          <w:lang w:val="de-DE"/>
        </w:rPr>
        <w:lastRenderedPageBreak/>
        <w:t xml:space="preserve">công bố thông tin về các đợt phát hành và báo cáo kết quả phát hành trên website của SGDCKHN. Theo thống kê năm 2021, đã có 998 đợt phát hành </w:t>
      </w:r>
      <w:r w:rsidR="00DB2CFA">
        <w:rPr>
          <w:rFonts w:ascii="Times New Roman" w:eastAsia="Calibri" w:hAnsi="Times New Roman" w:cs="Times New Roman"/>
          <w:sz w:val="28"/>
          <w:szCs w:val="28"/>
          <w:lang w:val="de-DE"/>
        </w:rPr>
        <w:t>trái phiếu doanh nghiệp</w:t>
      </w:r>
      <w:r w:rsidRPr="00741801">
        <w:rPr>
          <w:rFonts w:ascii="Times New Roman" w:eastAsia="Calibri" w:hAnsi="Times New Roman" w:cs="Times New Roman"/>
          <w:sz w:val="28"/>
          <w:szCs w:val="28"/>
          <w:lang w:val="de-DE"/>
        </w:rPr>
        <w:t xml:space="preserve"> riêng lẻ công bố thông tin qua SGDCKHN, với tổng giá trị phát hành đạt 680 nghìn tỷ đồng, kỳ hạn phát hành bình quân đạt 3,86 năm.</w:t>
      </w:r>
    </w:p>
    <w:p w14:paraId="03916D17" w14:textId="42A81727" w:rsidR="00C8374B" w:rsidRPr="0096000B" w:rsidRDefault="00C8374B" w:rsidP="00741801">
      <w:pPr>
        <w:spacing w:before="120" w:after="120" w:line="240" w:lineRule="auto"/>
        <w:ind w:firstLine="567"/>
        <w:jc w:val="both"/>
        <w:rPr>
          <w:rFonts w:ascii="Times New Roman" w:eastAsia="Calibri" w:hAnsi="Times New Roman" w:cs="Times New Roman"/>
          <w:sz w:val="28"/>
          <w:szCs w:val="28"/>
          <w:lang w:val="de-DE"/>
        </w:rPr>
      </w:pPr>
      <w:r w:rsidRPr="00741801">
        <w:rPr>
          <w:rFonts w:ascii="Times New Roman" w:eastAsia="Calibri" w:hAnsi="Times New Roman" w:cs="Times New Roman"/>
          <w:iCs/>
          <w:sz w:val="28"/>
          <w:szCs w:val="28"/>
          <w:lang w:val="de-DE"/>
        </w:rPr>
        <w:t>Hoạt động đấu thầu trái phiếu</w:t>
      </w:r>
      <w:r w:rsidRPr="0096000B">
        <w:rPr>
          <w:rFonts w:ascii="Times New Roman" w:eastAsia="Calibri" w:hAnsi="Times New Roman" w:cs="Times New Roman"/>
          <w:sz w:val="28"/>
          <w:szCs w:val="28"/>
          <w:lang w:val="de-DE"/>
        </w:rPr>
        <w:t xml:space="preserve">: Từ năm 2006, hoạt động đấu thầu trái phiếu được tập trung tại TTGDCK Hà Nội theo quyết định của Bộ Tài chính, góp phần hình thành thị trường trái phiếu tập trung. Từ năm 2011,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chủ yếu được phát hành theo phương thức đấu thầu (ngoài phương thức bảo lãnh phát hành và phát hành riêng lẻ). Năm 2016, SGDCKHN khai trương hệ thống đấu thầu trái phiếu điện tử trên internet (E.ABS), cho phép các nhà đầu tư không phải là thành viên đấu thầu cũng được trực tiếp bỏ phiếu dự thầu điện tử trên hệ thống. Từ năm 2019, hệ thống các nhà tạo lập thị trường được hình thành (thay thế cho thành viên đấu thầu trước đây) là đối tượng duy nhất được tham gia vào các phiên phát hành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theo phương thức đấu thầu để mua trái phiếu cho chính mình hoặc mua cho khách hàng. </w:t>
      </w:r>
      <w:r w:rsidRPr="00741801">
        <w:rPr>
          <w:rFonts w:ascii="Times New Roman" w:eastAsia="Calibri" w:hAnsi="Times New Roman" w:cs="Times New Roman"/>
          <w:sz w:val="28"/>
          <w:szCs w:val="28"/>
          <w:lang w:val="de-DE"/>
        </w:rPr>
        <w:t xml:space="preserve">Năm 2021, SGDCKHN đã tổ chức 224 đợt đấu thầu </w:t>
      </w:r>
      <w:r w:rsidR="00817CAB">
        <w:rPr>
          <w:rFonts w:ascii="Times New Roman" w:eastAsia="Calibri" w:hAnsi="Times New Roman" w:cs="Times New Roman"/>
          <w:sz w:val="28"/>
          <w:szCs w:val="28"/>
          <w:lang w:val="de-DE"/>
        </w:rPr>
        <w:t>trái phiếu Chính phủ</w:t>
      </w:r>
      <w:r w:rsidRPr="00741801">
        <w:rPr>
          <w:rFonts w:ascii="Times New Roman" w:eastAsia="Calibri" w:hAnsi="Times New Roman" w:cs="Times New Roman"/>
          <w:sz w:val="28"/>
          <w:szCs w:val="28"/>
          <w:lang w:val="de-DE"/>
        </w:rPr>
        <w:t xml:space="preserve"> huy động vốn cho đầu tư phát triển, với tổng giá trị gọi thầu  </w:t>
      </w:r>
      <w:r w:rsidRPr="00741801">
        <w:rPr>
          <w:rFonts w:ascii="Times New Roman" w:eastAsia="Calibri" w:hAnsi="Times New Roman" w:cs="Times New Roman"/>
          <w:sz w:val="28"/>
          <w:lang w:val="de-DE"/>
        </w:rPr>
        <w:t xml:space="preserve">463.124 </w:t>
      </w:r>
      <w:r w:rsidRPr="00741801">
        <w:rPr>
          <w:rFonts w:ascii="Times New Roman" w:eastAsia="Calibri" w:hAnsi="Times New Roman" w:cs="Times New Roman"/>
          <w:sz w:val="28"/>
          <w:szCs w:val="28"/>
          <w:lang w:val="de-DE"/>
        </w:rPr>
        <w:t xml:space="preserve">nghìn tỷ đồng, </w:t>
      </w:r>
      <w:r w:rsidRPr="00741801">
        <w:rPr>
          <w:rFonts w:ascii="Times New Roman" w:eastAsia="Calibri" w:hAnsi="Times New Roman" w:cs="Times New Roman"/>
          <w:sz w:val="28"/>
          <w:lang w:val="de-DE"/>
        </w:rPr>
        <w:t>huy động thành công 339.737 tỷ đồng, với kỳ hạn trung bình là 13,69 năm</w:t>
      </w:r>
      <w:r w:rsidRPr="00741801">
        <w:rPr>
          <w:rFonts w:ascii="Times New Roman" w:eastAsia="Calibri" w:hAnsi="Times New Roman" w:cs="Times New Roman"/>
          <w:sz w:val="28"/>
          <w:szCs w:val="28"/>
          <w:lang w:val="de-DE"/>
        </w:rPr>
        <w:t>.</w:t>
      </w:r>
      <w:r w:rsidRPr="0096000B">
        <w:rPr>
          <w:rFonts w:ascii="Times New Roman" w:eastAsia="Calibri" w:hAnsi="Times New Roman" w:cs="Times New Roman"/>
          <w:sz w:val="28"/>
          <w:szCs w:val="28"/>
          <w:lang w:val="de-DE"/>
        </w:rPr>
        <w:t xml:space="preserve"> </w:t>
      </w:r>
    </w:p>
    <w:p w14:paraId="7D12C905" w14:textId="77777777" w:rsidR="00C8374B" w:rsidRPr="00741801" w:rsidRDefault="00C8374B" w:rsidP="00741801">
      <w:pPr>
        <w:spacing w:before="120" w:after="120" w:line="240" w:lineRule="auto"/>
        <w:ind w:firstLine="426"/>
        <w:jc w:val="both"/>
        <w:rPr>
          <w:rFonts w:ascii="Times New Roman" w:eastAsia="Calibri" w:hAnsi="Times New Roman" w:cs="Times New Roman"/>
          <w:bCs/>
          <w:iCs/>
          <w:sz w:val="28"/>
          <w:szCs w:val="28"/>
          <w:lang w:val="de-DE"/>
        </w:rPr>
      </w:pPr>
      <w:r w:rsidRPr="00741801">
        <w:rPr>
          <w:rFonts w:ascii="Times New Roman" w:eastAsia="Calibri" w:hAnsi="Times New Roman" w:cs="Times New Roman"/>
          <w:bCs/>
          <w:iCs/>
          <w:sz w:val="28"/>
          <w:szCs w:val="28"/>
          <w:lang w:val="de-DE"/>
        </w:rPr>
        <w:t>Thị trường chứng khoán phái sinh</w:t>
      </w:r>
    </w:p>
    <w:p w14:paraId="54B6B176" w14:textId="0E95F2B0" w:rsidR="00C8374B" w:rsidRPr="0096000B" w:rsidRDefault="00C8374B" w:rsidP="00741801">
      <w:pPr>
        <w:spacing w:before="120" w:after="120" w:line="240" w:lineRule="auto"/>
        <w:ind w:firstLine="426"/>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Trên cơ sở Quyết định số 366/QĐ-TTg năm 2014 của Thủ tướng chính phủ phê duyệt “Đề án xây dựng và phát triển </w:t>
      </w:r>
      <w:r w:rsidR="000B3AFA" w:rsidRPr="0096000B">
        <w:rPr>
          <w:rFonts w:ascii="Times New Roman" w:eastAsia="Calibri" w:hAnsi="Times New Roman" w:cs="Times New Roman"/>
          <w:sz w:val="28"/>
          <w:szCs w:val="28"/>
          <w:lang w:val="de-DE"/>
        </w:rPr>
        <w:t>thị trường chứng khoán phái sinh</w:t>
      </w:r>
      <w:r w:rsidRPr="0096000B">
        <w:rPr>
          <w:rFonts w:ascii="Times New Roman" w:eastAsia="Calibri" w:hAnsi="Times New Roman" w:cs="Times New Roman"/>
          <w:sz w:val="28"/>
          <w:szCs w:val="28"/>
          <w:lang w:val="de-DE"/>
        </w:rPr>
        <w:t xml:space="preserve"> Việt Nam”, khuôn khổ pháp lý và công tác chuẩn bị cho việc thành lập thị trường được hoàn thiện và triển khai. Năm 2015, Bộ Tài chính quyết định giao SGDCKHN tổ chức giao dịch thị trường </w:t>
      </w:r>
      <w:r w:rsidR="00EA61A8">
        <w:rPr>
          <w:rFonts w:ascii="Times New Roman" w:eastAsia="Calibri" w:hAnsi="Times New Roman" w:cs="Times New Roman"/>
          <w:sz w:val="28"/>
          <w:szCs w:val="28"/>
          <w:lang w:val="de-DE"/>
        </w:rPr>
        <w:t>chứng khoán phái sinh</w:t>
      </w:r>
      <w:r w:rsidRPr="0096000B">
        <w:rPr>
          <w:rFonts w:ascii="Times New Roman" w:eastAsia="Calibri" w:hAnsi="Times New Roman" w:cs="Times New Roman"/>
          <w:sz w:val="28"/>
          <w:szCs w:val="28"/>
          <w:lang w:val="de-DE"/>
        </w:rPr>
        <w:t xml:space="preserve">. Năm 2017, thị trường </w:t>
      </w:r>
      <w:r w:rsidR="00EA61A8">
        <w:rPr>
          <w:rFonts w:ascii="Times New Roman" w:eastAsia="Calibri" w:hAnsi="Times New Roman" w:cs="Times New Roman"/>
          <w:sz w:val="28"/>
          <w:szCs w:val="28"/>
          <w:lang w:val="de-DE"/>
        </w:rPr>
        <w:t>chứng khoán phái sinh</w:t>
      </w:r>
      <w:r w:rsidRPr="0096000B">
        <w:rPr>
          <w:rFonts w:ascii="Times New Roman" w:eastAsia="Calibri" w:hAnsi="Times New Roman" w:cs="Times New Roman"/>
          <w:sz w:val="28"/>
          <w:szCs w:val="28"/>
          <w:lang w:val="de-DE"/>
        </w:rPr>
        <w:t xml:space="preserve"> đã chính thức khai trương hoạt động, đóng vai trò là công cụ phòng ngừa rủi ro, góp phần vào việc ổn định thị trường cơ sở và hoàn thiện cấu trúc thị trường. Các sản phẩm được giao dịch trên thị trường trong giai đoạn đầu bao gồm Hợp đồng tương lai chỉ số cổ phiếu, Hợp đồng tương lai trái phiếu thông qua việc lựa chọn chỉ số có tính đại diện cao và trái phiếu có tính thanh khoản cao làm tài sản cơ sở. Sản phầm đầu tiên được đưa vào giao dịch là Hợp đồng tương lai chỉ số VN30 vào năm 2017, tiếp đó là Hợp đồng tương lai </w:t>
      </w:r>
      <w:r w:rsidR="00817CAB">
        <w:rPr>
          <w:rFonts w:ascii="Times New Roman" w:eastAsia="Calibri" w:hAnsi="Times New Roman" w:cs="Times New Roman"/>
          <w:sz w:val="28"/>
          <w:szCs w:val="28"/>
          <w:lang w:val="de-DE"/>
        </w:rPr>
        <w:t>trái phiếu Chính phủ</w:t>
      </w:r>
      <w:r w:rsidRPr="0096000B">
        <w:rPr>
          <w:rFonts w:ascii="Times New Roman" w:eastAsia="Calibri" w:hAnsi="Times New Roman" w:cs="Times New Roman"/>
          <w:sz w:val="28"/>
          <w:szCs w:val="28"/>
          <w:lang w:val="de-DE"/>
        </w:rPr>
        <w:t xml:space="preserve"> kỳ hạn 5 năm vào năm 2019.  Sau 3 năm vận hành, thị trường </w:t>
      </w:r>
      <w:r w:rsidR="00EA61A8">
        <w:rPr>
          <w:rFonts w:ascii="Times New Roman" w:eastAsia="Calibri" w:hAnsi="Times New Roman" w:cs="Times New Roman"/>
          <w:sz w:val="28"/>
          <w:szCs w:val="28"/>
          <w:lang w:val="de-DE"/>
        </w:rPr>
        <w:t>chứng khoán phái sinh</w:t>
      </w:r>
      <w:r w:rsidRPr="0096000B">
        <w:rPr>
          <w:rFonts w:ascii="Times New Roman" w:eastAsia="Calibri" w:hAnsi="Times New Roman" w:cs="Times New Roman"/>
          <w:sz w:val="28"/>
          <w:szCs w:val="28"/>
          <w:lang w:val="de-DE"/>
        </w:rPr>
        <w:t xml:space="preserve"> đã cho thấy tính thanh khoản và mức độ quan tâm cao của nhà đầu tư, với</w:t>
      </w:r>
      <w:r w:rsidRPr="0096000B">
        <w:rPr>
          <w:rFonts w:ascii="Times New Roman" w:eastAsia="Calibri" w:hAnsi="Times New Roman" w:cs="Times New Roman"/>
          <w:sz w:val="28"/>
          <w:lang w:val="de-DE"/>
        </w:rPr>
        <w:t xml:space="preserve">khối lượng giao dịch trên thị trường đạt trên 67,9 triệu hợp đồng. </w:t>
      </w:r>
      <w:r w:rsidRPr="00741801">
        <w:rPr>
          <w:rFonts w:ascii="Times New Roman" w:eastAsia="Calibri" w:hAnsi="Times New Roman" w:cs="Times New Roman"/>
          <w:sz w:val="28"/>
          <w:lang w:val="de-DE"/>
        </w:rPr>
        <w:t>Năm 2021, khối lượng giao dịch bình quân đạt 190.079 hợp đồng/phiên. Chỉ tính riêng sản phẩm Hợp đồng tương lai chỉ số VN30, tổng khối lượng giao dịch đạt 47,2 triệu hợp đồng trong năm 2021. Khối lượng hợp đồng mở (OI) cuối năm 2021 đạt 31.585 hợp đồng.</w:t>
      </w:r>
      <w:r w:rsidRPr="0096000B">
        <w:rPr>
          <w:rFonts w:ascii="Times New Roman" w:eastAsia="Calibri" w:hAnsi="Times New Roman" w:cs="Times New Roman"/>
          <w:sz w:val="28"/>
          <w:lang w:val="de-DE"/>
        </w:rPr>
        <w:t xml:space="preserve"> </w:t>
      </w:r>
      <w:r w:rsidRPr="0096000B">
        <w:rPr>
          <w:rFonts w:ascii="Times New Roman" w:eastAsia="Calibri" w:hAnsi="Times New Roman" w:cs="Times New Roman"/>
          <w:sz w:val="28"/>
          <w:szCs w:val="28"/>
          <w:lang w:val="de-DE"/>
        </w:rPr>
        <w:t xml:space="preserve"> </w:t>
      </w:r>
    </w:p>
    <w:p w14:paraId="7FC2E463" w14:textId="77777777" w:rsidR="00C8374B" w:rsidRPr="00741801" w:rsidRDefault="00C8374B" w:rsidP="00741801">
      <w:pPr>
        <w:spacing w:before="120" w:after="120" w:line="240" w:lineRule="auto"/>
        <w:ind w:firstLine="426"/>
        <w:jc w:val="both"/>
        <w:rPr>
          <w:rFonts w:ascii="Times New Roman" w:eastAsia="Calibri" w:hAnsi="Times New Roman" w:cs="Times New Roman"/>
          <w:bCs/>
          <w:iCs/>
          <w:sz w:val="28"/>
          <w:szCs w:val="28"/>
          <w:lang w:val="de-DE"/>
        </w:rPr>
      </w:pPr>
      <w:r w:rsidRPr="00741801">
        <w:rPr>
          <w:rFonts w:ascii="Times New Roman" w:eastAsia="Calibri" w:hAnsi="Times New Roman" w:cs="Times New Roman"/>
          <w:bCs/>
          <w:iCs/>
          <w:sz w:val="28"/>
          <w:szCs w:val="28"/>
          <w:lang w:val="de-DE"/>
        </w:rPr>
        <w:t>Hoạt động hợp tác quốc tế</w:t>
      </w:r>
    </w:p>
    <w:p w14:paraId="72C0B913" w14:textId="798DB84B" w:rsidR="00C8374B" w:rsidRPr="0096000B" w:rsidRDefault="00C8374B" w:rsidP="00741801">
      <w:pPr>
        <w:spacing w:before="120" w:after="120" w:line="240" w:lineRule="auto"/>
        <w:ind w:firstLine="426"/>
        <w:jc w:val="both"/>
        <w:rPr>
          <w:rFonts w:ascii="Times New Roman" w:eastAsia="Calibri" w:hAnsi="Times New Roman" w:cs="Times New Roman"/>
          <w:sz w:val="28"/>
          <w:szCs w:val="28"/>
          <w:lang w:val="de-DE"/>
        </w:rPr>
      </w:pPr>
      <w:r w:rsidRPr="0096000B">
        <w:rPr>
          <w:rFonts w:ascii="Times New Roman" w:eastAsia="Calibri" w:hAnsi="Times New Roman" w:cs="Times New Roman"/>
          <w:sz w:val="28"/>
          <w:szCs w:val="28"/>
          <w:lang w:val="de-DE"/>
        </w:rPr>
        <w:t xml:space="preserve">SGDCKHN đã phát triển quan hệ với các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các tổ chức tài chính, tham gia các tổ chức thị trường chứng khoán khu vực và quốc tế. </w:t>
      </w:r>
      <w:r w:rsidRPr="0096000B">
        <w:rPr>
          <w:rFonts w:ascii="Times New Roman" w:eastAsia="Calibri" w:hAnsi="Times New Roman" w:cs="Times New Roman"/>
          <w:sz w:val="28"/>
          <w:szCs w:val="28"/>
          <w:lang w:val="de-DE"/>
        </w:rPr>
        <w:lastRenderedPageBreak/>
        <w:t xml:space="preserve">Kể từ khi đi vào hoạt động, SGDCKHN đã ký kết biên bản ghi nhớ hợp tác (MoU) nhằm thiết lập cơ chế hợp tác về chia sẻ thông tin, kinh nghiệm phát triển thị trường, đào tạo, thúc đẩy hoạt động niêm yết, quản trị công ty, phát triển hệ thống… với 19 </w:t>
      </w:r>
      <w:r w:rsidR="00353E94">
        <w:rPr>
          <w:rFonts w:ascii="Times New Roman" w:eastAsia="Calibri" w:hAnsi="Times New Roman" w:cs="Times New Roman"/>
          <w:sz w:val="28"/>
          <w:szCs w:val="28"/>
          <w:lang w:val="de-DE"/>
        </w:rPr>
        <w:t>Sở Giao dịch Chứng khoán</w:t>
      </w:r>
      <w:r w:rsidR="006F27D2" w:rsidRPr="0096000B">
        <w:rPr>
          <w:rFonts w:ascii="Times New Roman" w:eastAsia="Calibri" w:hAnsi="Times New Roman" w:cs="Times New Roman"/>
          <w:sz w:val="28"/>
          <w:szCs w:val="28"/>
          <w:lang w:val="de-DE"/>
        </w:rPr>
        <w:t xml:space="preserve"> </w:t>
      </w:r>
      <w:r w:rsidRPr="0096000B">
        <w:rPr>
          <w:rFonts w:ascii="Times New Roman" w:eastAsia="Calibri" w:hAnsi="Times New Roman" w:cs="Times New Roman"/>
          <w:sz w:val="28"/>
          <w:szCs w:val="28"/>
          <w:lang w:val="de-DE"/>
        </w:rPr>
        <w:t xml:space="preserve">như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Luân Đôn (LSE),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Hàn Quốc (KRX),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Thái Lan (TSE),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Nhật Bản (JPX),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Thâm Quyến (SZSE),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Thượng Hải (SSE),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Singapore (SGX),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Lào (LSX), vv. Bên cạnh đó, SGDCKHN là thành viên, đối tác tích cực tham gia vào hoạt động của các tổ chức đa phương như Liên đoàn các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thế giới (WFE), Liên đoàn các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Châu Á và Châu Đại Dương (AOSEF), Sáng kiến kết nối các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ASEAN (ASEAN Exchanges Linkage), Diễn đàn thị trường trái phiếu ASEAN+3 (ABMF), Sáng kiến </w:t>
      </w:r>
      <w:r w:rsidR="00353E94">
        <w:rPr>
          <w:rFonts w:ascii="Times New Roman" w:eastAsia="Calibri" w:hAnsi="Times New Roman" w:cs="Times New Roman"/>
          <w:sz w:val="28"/>
          <w:szCs w:val="28"/>
          <w:lang w:val="de-DE"/>
        </w:rPr>
        <w:t>Sở Giao dịch Chứng khoán</w:t>
      </w:r>
      <w:r w:rsidRPr="0096000B">
        <w:rPr>
          <w:rFonts w:ascii="Times New Roman" w:eastAsia="Calibri" w:hAnsi="Times New Roman" w:cs="Times New Roman"/>
          <w:sz w:val="28"/>
          <w:szCs w:val="28"/>
          <w:lang w:val="de-DE"/>
        </w:rPr>
        <w:t xml:space="preserve"> phát triển bền vững, v.v.</w:t>
      </w:r>
    </w:p>
    <w:bookmarkEnd w:id="2"/>
    <w:p w14:paraId="66890BB4" w14:textId="77777777" w:rsidR="00C8374B" w:rsidRPr="0096000B" w:rsidRDefault="00C8374B" w:rsidP="00741801">
      <w:pPr>
        <w:spacing w:before="120" w:after="120" w:line="240" w:lineRule="auto"/>
        <w:ind w:firstLine="426"/>
        <w:jc w:val="right"/>
        <w:rPr>
          <w:rFonts w:ascii="Times New Roman" w:eastAsia="Calibri" w:hAnsi="Times New Roman" w:cs="Times New Roman"/>
          <w:b/>
          <w:bCs/>
          <w:sz w:val="24"/>
          <w:szCs w:val="24"/>
          <w:lang w:val="de-DE"/>
        </w:rPr>
      </w:pPr>
      <w:r w:rsidRPr="0096000B">
        <w:rPr>
          <w:rFonts w:ascii="Times New Roman" w:eastAsia="Calibri" w:hAnsi="Times New Roman" w:cs="Times New Roman"/>
          <w:b/>
          <w:bCs/>
          <w:sz w:val="24"/>
          <w:szCs w:val="24"/>
          <w:lang w:val="de-DE"/>
        </w:rPr>
        <w:t>NGUYỄN THÀNH LONG</w:t>
      </w:r>
    </w:p>
    <w:p w14:paraId="3292F7B2" w14:textId="1A72EBD0" w:rsidR="00C8374B" w:rsidRPr="00741801" w:rsidRDefault="00C8374B" w:rsidP="00741801">
      <w:pPr>
        <w:spacing w:before="120" w:after="120" w:line="240" w:lineRule="auto"/>
        <w:jc w:val="both"/>
        <w:rPr>
          <w:rFonts w:ascii="Times New Roman" w:eastAsia="Calibri" w:hAnsi="Times New Roman" w:cs="Times New Roman"/>
          <w:b/>
          <w:bCs/>
          <w:sz w:val="24"/>
          <w:szCs w:val="24"/>
          <w:lang w:val="de-DE"/>
        </w:rPr>
      </w:pPr>
      <w:r w:rsidRPr="00741801">
        <w:rPr>
          <w:rFonts w:ascii="Times New Roman" w:eastAsia="Calibri" w:hAnsi="Times New Roman" w:cs="Times New Roman"/>
          <w:b/>
          <w:bCs/>
          <w:sz w:val="24"/>
          <w:szCs w:val="24"/>
          <w:lang w:val="de-DE"/>
        </w:rPr>
        <w:t>Tài liệu tham khảo</w:t>
      </w:r>
    </w:p>
    <w:p w14:paraId="6128B0C3" w14:textId="77777777" w:rsidR="00EA61A8" w:rsidRPr="00741801" w:rsidRDefault="00EA61A8" w:rsidP="00EA61A8">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Bộ Tài chính, </w:t>
      </w:r>
      <w:r w:rsidRPr="00741801">
        <w:rPr>
          <w:rFonts w:ascii="Times New Roman" w:eastAsia="Calibri" w:hAnsi="Times New Roman" w:cs="Times New Roman"/>
          <w:i/>
          <w:sz w:val="24"/>
          <w:szCs w:val="24"/>
          <w:lang w:val="de-DE"/>
        </w:rPr>
        <w:t>Báo cáo thường niên về thị trường trái phiếu</w:t>
      </w:r>
      <w:r w:rsidRPr="00741801">
        <w:rPr>
          <w:rFonts w:ascii="Times New Roman" w:eastAsia="Calibri" w:hAnsi="Times New Roman" w:cs="Times New Roman"/>
          <w:sz w:val="24"/>
          <w:szCs w:val="24"/>
          <w:lang w:val="de-DE"/>
        </w:rPr>
        <w:t xml:space="preserve">, 2018 </w:t>
      </w:r>
    </w:p>
    <w:p w14:paraId="52DCFD87" w14:textId="71121D93" w:rsidR="00C8374B" w:rsidRPr="00F667EA" w:rsidRDefault="00C8374B" w:rsidP="00F667EA">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F667EA">
        <w:rPr>
          <w:rFonts w:ascii="Times New Roman" w:eastAsia="Calibri" w:hAnsi="Times New Roman" w:cs="Times New Roman"/>
          <w:sz w:val="24"/>
          <w:szCs w:val="24"/>
          <w:lang w:val="de-DE"/>
        </w:rPr>
        <w:t xml:space="preserve">Sở </w:t>
      </w:r>
      <w:r w:rsidR="00397382" w:rsidRPr="00F667EA">
        <w:rPr>
          <w:rFonts w:ascii="Times New Roman" w:eastAsia="Calibri" w:hAnsi="Times New Roman" w:cs="Times New Roman"/>
          <w:sz w:val="24"/>
          <w:szCs w:val="24"/>
          <w:lang w:val="de-DE"/>
        </w:rPr>
        <w:t xml:space="preserve">giao dịch chứng khoán </w:t>
      </w:r>
      <w:r w:rsidRPr="00F667EA">
        <w:rPr>
          <w:rFonts w:ascii="Times New Roman" w:eastAsia="Calibri" w:hAnsi="Times New Roman" w:cs="Times New Roman"/>
          <w:sz w:val="24"/>
          <w:szCs w:val="24"/>
          <w:lang w:val="de-DE"/>
        </w:rPr>
        <w:t xml:space="preserve">Hà Nội, </w:t>
      </w:r>
      <w:r w:rsidRPr="00F667EA">
        <w:rPr>
          <w:rFonts w:ascii="Times New Roman" w:eastAsia="Calibri" w:hAnsi="Times New Roman" w:cs="Times New Roman"/>
          <w:i/>
          <w:sz w:val="24"/>
          <w:szCs w:val="24"/>
          <w:lang w:val="de-DE"/>
        </w:rPr>
        <w:t>Báo cáo thường niên</w:t>
      </w:r>
      <w:r w:rsidRPr="00F667EA">
        <w:rPr>
          <w:rFonts w:ascii="Times New Roman" w:eastAsia="Calibri" w:hAnsi="Times New Roman" w:cs="Times New Roman"/>
          <w:sz w:val="24"/>
          <w:szCs w:val="24"/>
          <w:lang w:val="de-DE"/>
        </w:rPr>
        <w:t xml:space="preserve">, 2006 </w:t>
      </w:r>
    </w:p>
    <w:p w14:paraId="02F71424" w14:textId="71724D88"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xml:space="preserve">, 2007 </w:t>
      </w:r>
    </w:p>
    <w:p w14:paraId="5BCC525D" w14:textId="49153F69"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2008</w:t>
      </w:r>
    </w:p>
    <w:p w14:paraId="488096D9" w14:textId="4F2E734A"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2009</w:t>
      </w:r>
    </w:p>
    <w:p w14:paraId="0827E43E" w14:textId="4409B70C"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2010</w:t>
      </w:r>
    </w:p>
    <w:p w14:paraId="7D6BD717" w14:textId="43C0270B"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2011</w:t>
      </w:r>
    </w:p>
    <w:p w14:paraId="2D2792E1" w14:textId="3DA6A91D"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2012</w:t>
      </w:r>
    </w:p>
    <w:p w14:paraId="623A8F96" w14:textId="3DB28864"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 </w:t>
      </w:r>
      <w:r w:rsidRPr="00741801">
        <w:rPr>
          <w:rFonts w:ascii="Times New Roman" w:eastAsia="Calibri" w:hAnsi="Times New Roman" w:cs="Times New Roman"/>
          <w:i/>
          <w:sz w:val="24"/>
          <w:szCs w:val="24"/>
          <w:lang w:val="de-DE"/>
        </w:rPr>
        <w:t>Báo cáo thường niên</w:t>
      </w:r>
      <w:r w:rsidRPr="00741801">
        <w:rPr>
          <w:rFonts w:ascii="Times New Roman" w:eastAsia="Calibri" w:hAnsi="Times New Roman" w:cs="Times New Roman"/>
          <w:sz w:val="24"/>
          <w:szCs w:val="24"/>
          <w:lang w:val="de-DE"/>
        </w:rPr>
        <w:t>, 2013</w:t>
      </w:r>
    </w:p>
    <w:p w14:paraId="7BA36320" w14:textId="0527296A"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2014</w:t>
      </w:r>
    </w:p>
    <w:p w14:paraId="461EC992" w14:textId="4A6C8D1E"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2015</w:t>
      </w:r>
    </w:p>
    <w:p w14:paraId="2627C520" w14:textId="416E87EC"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2016</w:t>
      </w:r>
    </w:p>
    <w:p w14:paraId="5EC2235B" w14:textId="48614246"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463368"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2017</w:t>
      </w:r>
    </w:p>
    <w:p w14:paraId="58D345E1" w14:textId="49EBB1BB"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2C1665"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2018</w:t>
      </w:r>
    </w:p>
    <w:p w14:paraId="3C2CB130" w14:textId="720E1FA8"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2C1665"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2019</w:t>
      </w:r>
    </w:p>
    <w:p w14:paraId="19966039" w14:textId="22E1703C" w:rsidR="00C8374B" w:rsidRPr="00741801" w:rsidRDefault="00C8374B" w:rsidP="00741801">
      <w:pPr>
        <w:numPr>
          <w:ilvl w:val="0"/>
          <w:numId w:val="1"/>
        </w:numPr>
        <w:spacing w:before="120" w:after="120" w:line="240" w:lineRule="auto"/>
        <w:ind w:left="567" w:hanging="567"/>
        <w:contextualSpacing/>
        <w:jc w:val="both"/>
        <w:rPr>
          <w:rFonts w:ascii="Times New Roman" w:eastAsia="Calibri" w:hAnsi="Times New Roman" w:cs="Times New Roman"/>
          <w:sz w:val="24"/>
          <w:szCs w:val="24"/>
          <w:lang w:val="de-DE"/>
        </w:rPr>
      </w:pPr>
      <w:r w:rsidRPr="00741801">
        <w:rPr>
          <w:rFonts w:ascii="Times New Roman" w:eastAsia="Calibri" w:hAnsi="Times New Roman" w:cs="Times New Roman"/>
          <w:sz w:val="24"/>
          <w:szCs w:val="24"/>
          <w:lang w:val="de-DE"/>
        </w:rPr>
        <w:t xml:space="preserve">Sở </w:t>
      </w:r>
      <w:r w:rsidR="002C1665"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2020</w:t>
      </w:r>
    </w:p>
    <w:p w14:paraId="38F61FC2" w14:textId="3D9B7F8B" w:rsidR="000002AF" w:rsidRPr="00741801" w:rsidRDefault="00C8374B" w:rsidP="00741801">
      <w:pPr>
        <w:numPr>
          <w:ilvl w:val="0"/>
          <w:numId w:val="1"/>
        </w:numPr>
        <w:spacing w:before="120" w:after="120" w:line="240" w:lineRule="auto"/>
        <w:ind w:left="567" w:hanging="567"/>
        <w:contextualSpacing/>
        <w:jc w:val="both"/>
        <w:rPr>
          <w:sz w:val="24"/>
          <w:szCs w:val="24"/>
        </w:rPr>
      </w:pPr>
      <w:r w:rsidRPr="00741801">
        <w:rPr>
          <w:rFonts w:ascii="Times New Roman" w:eastAsia="Calibri" w:hAnsi="Times New Roman" w:cs="Times New Roman"/>
          <w:sz w:val="24"/>
          <w:szCs w:val="24"/>
          <w:lang w:val="de-DE"/>
        </w:rPr>
        <w:t xml:space="preserve">Sở </w:t>
      </w:r>
      <w:r w:rsidR="002C1665" w:rsidRPr="00741801">
        <w:rPr>
          <w:rFonts w:ascii="Times New Roman" w:eastAsia="Calibri" w:hAnsi="Times New Roman" w:cs="Times New Roman"/>
          <w:sz w:val="24"/>
          <w:szCs w:val="24"/>
          <w:lang w:val="de-DE"/>
        </w:rPr>
        <w:t xml:space="preserve">giao dịch chứng khoán </w:t>
      </w:r>
      <w:r w:rsidRPr="00741801">
        <w:rPr>
          <w:rFonts w:ascii="Times New Roman" w:eastAsia="Calibri" w:hAnsi="Times New Roman" w:cs="Times New Roman"/>
          <w:sz w:val="24"/>
          <w:szCs w:val="24"/>
          <w:lang w:val="de-DE"/>
        </w:rPr>
        <w:t xml:space="preserve"> Hà Nội</w:t>
      </w:r>
      <w:r w:rsidRPr="00741801">
        <w:rPr>
          <w:rFonts w:ascii="Times New Roman" w:eastAsia="Calibri" w:hAnsi="Times New Roman" w:cs="Times New Roman"/>
          <w:i/>
          <w:sz w:val="24"/>
          <w:szCs w:val="24"/>
          <w:lang w:val="de-DE"/>
        </w:rPr>
        <w:t>, Báo cáo thường niên</w:t>
      </w:r>
      <w:r w:rsidRPr="00741801">
        <w:rPr>
          <w:rFonts w:ascii="Times New Roman" w:eastAsia="Calibri" w:hAnsi="Times New Roman" w:cs="Times New Roman"/>
          <w:sz w:val="24"/>
          <w:szCs w:val="24"/>
          <w:lang w:val="de-DE"/>
        </w:rPr>
        <w:t>, 2021</w:t>
      </w:r>
    </w:p>
    <w:sectPr w:rsidR="000002AF" w:rsidRPr="00741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434BC"/>
    <w:multiLevelType w:val="hybridMultilevel"/>
    <w:tmpl w:val="E00E004A"/>
    <w:lvl w:ilvl="0" w:tplc="86D4D4A0">
      <w:start w:val="1"/>
      <w:numFmt w:val="decimal"/>
      <w:lvlText w:val="%1."/>
      <w:lvlJc w:val="left"/>
      <w:pPr>
        <w:ind w:left="3054" w:hanging="360"/>
      </w:pPr>
      <w:rPr>
        <w:rFonts w:asciiTheme="majorHAnsi" w:hAnsiTheme="majorHAnsi" w:cstheme="majorHAnsi" w:hint="default"/>
        <w:sz w:val="24"/>
        <w:szCs w:val="24"/>
      </w:rPr>
    </w:lvl>
    <w:lvl w:ilvl="1" w:tplc="042A0019" w:tentative="1">
      <w:start w:val="1"/>
      <w:numFmt w:val="lowerLetter"/>
      <w:lvlText w:val="%2."/>
      <w:lvlJc w:val="left"/>
      <w:pPr>
        <w:ind w:left="3774" w:hanging="360"/>
      </w:pPr>
    </w:lvl>
    <w:lvl w:ilvl="2" w:tplc="042A001B" w:tentative="1">
      <w:start w:val="1"/>
      <w:numFmt w:val="lowerRoman"/>
      <w:lvlText w:val="%3."/>
      <w:lvlJc w:val="right"/>
      <w:pPr>
        <w:ind w:left="4494" w:hanging="180"/>
      </w:pPr>
    </w:lvl>
    <w:lvl w:ilvl="3" w:tplc="042A000F" w:tentative="1">
      <w:start w:val="1"/>
      <w:numFmt w:val="decimal"/>
      <w:lvlText w:val="%4."/>
      <w:lvlJc w:val="left"/>
      <w:pPr>
        <w:ind w:left="5214" w:hanging="360"/>
      </w:pPr>
    </w:lvl>
    <w:lvl w:ilvl="4" w:tplc="042A0019" w:tentative="1">
      <w:start w:val="1"/>
      <w:numFmt w:val="lowerLetter"/>
      <w:lvlText w:val="%5."/>
      <w:lvlJc w:val="left"/>
      <w:pPr>
        <w:ind w:left="5934" w:hanging="360"/>
      </w:pPr>
    </w:lvl>
    <w:lvl w:ilvl="5" w:tplc="042A001B" w:tentative="1">
      <w:start w:val="1"/>
      <w:numFmt w:val="lowerRoman"/>
      <w:lvlText w:val="%6."/>
      <w:lvlJc w:val="right"/>
      <w:pPr>
        <w:ind w:left="6654" w:hanging="180"/>
      </w:pPr>
    </w:lvl>
    <w:lvl w:ilvl="6" w:tplc="042A000F" w:tentative="1">
      <w:start w:val="1"/>
      <w:numFmt w:val="decimal"/>
      <w:lvlText w:val="%7."/>
      <w:lvlJc w:val="left"/>
      <w:pPr>
        <w:ind w:left="7374" w:hanging="360"/>
      </w:pPr>
    </w:lvl>
    <w:lvl w:ilvl="7" w:tplc="042A0019" w:tentative="1">
      <w:start w:val="1"/>
      <w:numFmt w:val="lowerLetter"/>
      <w:lvlText w:val="%8."/>
      <w:lvlJc w:val="left"/>
      <w:pPr>
        <w:ind w:left="8094" w:hanging="360"/>
      </w:pPr>
    </w:lvl>
    <w:lvl w:ilvl="8" w:tplc="042A001B" w:tentative="1">
      <w:start w:val="1"/>
      <w:numFmt w:val="lowerRoman"/>
      <w:lvlText w:val="%9."/>
      <w:lvlJc w:val="right"/>
      <w:pPr>
        <w:ind w:left="8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4B"/>
    <w:rsid w:val="000002AF"/>
    <w:rsid w:val="00014D7B"/>
    <w:rsid w:val="00027ACB"/>
    <w:rsid w:val="00075781"/>
    <w:rsid w:val="0008207D"/>
    <w:rsid w:val="000843B3"/>
    <w:rsid w:val="00093E60"/>
    <w:rsid w:val="000A5D06"/>
    <w:rsid w:val="000B3AFA"/>
    <w:rsid w:val="000B4503"/>
    <w:rsid w:val="000D7559"/>
    <w:rsid w:val="000E7F1B"/>
    <w:rsid w:val="00111FC3"/>
    <w:rsid w:val="00120855"/>
    <w:rsid w:val="001906A7"/>
    <w:rsid w:val="001B2781"/>
    <w:rsid w:val="001E6466"/>
    <w:rsid w:val="002015BE"/>
    <w:rsid w:val="00231B06"/>
    <w:rsid w:val="0024036B"/>
    <w:rsid w:val="00253F67"/>
    <w:rsid w:val="002C1665"/>
    <w:rsid w:val="002D5F67"/>
    <w:rsid w:val="002E327D"/>
    <w:rsid w:val="00345D42"/>
    <w:rsid w:val="00353E94"/>
    <w:rsid w:val="00397382"/>
    <w:rsid w:val="003F3214"/>
    <w:rsid w:val="003F7592"/>
    <w:rsid w:val="00411237"/>
    <w:rsid w:val="00463368"/>
    <w:rsid w:val="004859C3"/>
    <w:rsid w:val="004B5465"/>
    <w:rsid w:val="00501BDC"/>
    <w:rsid w:val="00523FBE"/>
    <w:rsid w:val="00543DE0"/>
    <w:rsid w:val="005A12B8"/>
    <w:rsid w:val="005E6285"/>
    <w:rsid w:val="005E6C61"/>
    <w:rsid w:val="00600A56"/>
    <w:rsid w:val="00636029"/>
    <w:rsid w:val="00643E88"/>
    <w:rsid w:val="006628E5"/>
    <w:rsid w:val="006A7916"/>
    <w:rsid w:val="006C785A"/>
    <w:rsid w:val="006D6B60"/>
    <w:rsid w:val="006F1074"/>
    <w:rsid w:val="006F27D2"/>
    <w:rsid w:val="00720F3B"/>
    <w:rsid w:val="007226EE"/>
    <w:rsid w:val="00741801"/>
    <w:rsid w:val="007551B5"/>
    <w:rsid w:val="00764732"/>
    <w:rsid w:val="00786A87"/>
    <w:rsid w:val="00817CAB"/>
    <w:rsid w:val="0085767D"/>
    <w:rsid w:val="008A5C78"/>
    <w:rsid w:val="008C0C17"/>
    <w:rsid w:val="008E7E2A"/>
    <w:rsid w:val="008F5588"/>
    <w:rsid w:val="0096000B"/>
    <w:rsid w:val="0097417D"/>
    <w:rsid w:val="00A02C79"/>
    <w:rsid w:val="00A5022B"/>
    <w:rsid w:val="00A57614"/>
    <w:rsid w:val="00A76B6E"/>
    <w:rsid w:val="00AD5C3A"/>
    <w:rsid w:val="00AF08A4"/>
    <w:rsid w:val="00B4644E"/>
    <w:rsid w:val="00B4714F"/>
    <w:rsid w:val="00B51EA8"/>
    <w:rsid w:val="00B74BF9"/>
    <w:rsid w:val="00B9085A"/>
    <w:rsid w:val="00BA4D21"/>
    <w:rsid w:val="00BE3B74"/>
    <w:rsid w:val="00BE72DB"/>
    <w:rsid w:val="00C66042"/>
    <w:rsid w:val="00C8374B"/>
    <w:rsid w:val="00CC2A6C"/>
    <w:rsid w:val="00CC49EA"/>
    <w:rsid w:val="00CE779E"/>
    <w:rsid w:val="00D53809"/>
    <w:rsid w:val="00DB2CFA"/>
    <w:rsid w:val="00DD4028"/>
    <w:rsid w:val="00DE3A7A"/>
    <w:rsid w:val="00E40636"/>
    <w:rsid w:val="00E72391"/>
    <w:rsid w:val="00E824EB"/>
    <w:rsid w:val="00E86443"/>
    <w:rsid w:val="00EA2077"/>
    <w:rsid w:val="00EA61A8"/>
    <w:rsid w:val="00ED3A2B"/>
    <w:rsid w:val="00F04372"/>
    <w:rsid w:val="00F1510A"/>
    <w:rsid w:val="00F17FBB"/>
    <w:rsid w:val="00F4388D"/>
    <w:rsid w:val="00F667EA"/>
    <w:rsid w:val="00F747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A27B"/>
  <w15:docId w15:val="{A55F2939-64E9-40DE-9C84-800A00C6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3A7A"/>
    <w:pPr>
      <w:spacing w:after="0" w:line="240" w:lineRule="auto"/>
    </w:pPr>
  </w:style>
  <w:style w:type="paragraph" w:styleId="BalloonText">
    <w:name w:val="Balloon Text"/>
    <w:basedOn w:val="Normal"/>
    <w:link w:val="BalloonTextChar"/>
    <w:uiPriority w:val="99"/>
    <w:semiHidden/>
    <w:unhideWhenUsed/>
    <w:rsid w:val="00DD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1034-Lưu Ánh Nguyệt-Viện Chiến lược và Chính sách tài chính</cp:lastModifiedBy>
  <cp:revision>4</cp:revision>
  <dcterms:created xsi:type="dcterms:W3CDTF">2024-05-29T07:32:00Z</dcterms:created>
  <dcterms:modified xsi:type="dcterms:W3CDTF">2024-05-29T07:32:00Z</dcterms:modified>
</cp:coreProperties>
</file>